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0ABA2" w14:textId="46646CD8" w:rsidR="00242591" w:rsidRPr="006E3E8A" w:rsidRDefault="00926344" w:rsidP="00242591">
      <w:pPr>
        <w:jc w:val="right"/>
      </w:pPr>
      <w:r w:rsidRPr="006E3E8A">
        <w:t>ORDER NO.</w:t>
      </w:r>
      <w:r w:rsidR="00A75D88" w:rsidRPr="006E3E8A">
        <w:t xml:space="preserve"> </w:t>
      </w:r>
      <w:r w:rsidR="00774891" w:rsidRPr="006E3E8A">
        <w:t>6501</w:t>
      </w:r>
    </w:p>
    <w:p w14:paraId="6A753520" w14:textId="77777777" w:rsidR="00242591" w:rsidRPr="006E3E8A" w:rsidRDefault="00242591" w:rsidP="00242591">
      <w:pPr>
        <w:pStyle w:val="NormalLeft"/>
        <w:spacing w:line="240" w:lineRule="auto"/>
        <w:jc w:val="center"/>
      </w:pPr>
    </w:p>
    <w:p w14:paraId="2D83ED36" w14:textId="77777777" w:rsidR="00242591" w:rsidRPr="006E3E8A" w:rsidRDefault="00242591" w:rsidP="00242591">
      <w:pPr>
        <w:pStyle w:val="NormalLeft"/>
        <w:spacing w:line="240" w:lineRule="auto"/>
        <w:jc w:val="center"/>
        <w:rPr>
          <w:b/>
        </w:rPr>
      </w:pPr>
    </w:p>
    <w:p w14:paraId="392FE944" w14:textId="77777777" w:rsidR="00242591" w:rsidRPr="00B51642" w:rsidRDefault="00242591" w:rsidP="00242591">
      <w:pPr>
        <w:pStyle w:val="NormalLeft"/>
        <w:spacing w:line="240" w:lineRule="auto"/>
        <w:jc w:val="center"/>
      </w:pPr>
    </w:p>
    <w:p w14:paraId="7E149577" w14:textId="77777777" w:rsidR="00242591" w:rsidRPr="00B51642" w:rsidRDefault="00242591" w:rsidP="00242591">
      <w:pPr>
        <w:pStyle w:val="NormalLeft"/>
        <w:spacing w:line="240" w:lineRule="auto"/>
        <w:jc w:val="center"/>
      </w:pPr>
      <w:r w:rsidRPr="00B51642">
        <w:t>UNITED STATES OF AMERICA</w:t>
      </w:r>
    </w:p>
    <w:p w14:paraId="76B6E62C" w14:textId="77777777" w:rsidR="00242591" w:rsidRPr="00B51642" w:rsidRDefault="00242591" w:rsidP="00242591">
      <w:pPr>
        <w:pStyle w:val="NormalLeft"/>
        <w:spacing w:line="240" w:lineRule="auto"/>
        <w:jc w:val="center"/>
      </w:pPr>
      <w:r w:rsidRPr="00B51642">
        <w:t>POSTAL REGULATORY COMMISSION</w:t>
      </w:r>
    </w:p>
    <w:p w14:paraId="61A90E35" w14:textId="77777777" w:rsidR="00242591" w:rsidRPr="00B51642" w:rsidRDefault="00242591" w:rsidP="00242591">
      <w:pPr>
        <w:pStyle w:val="NormalLeft"/>
        <w:spacing w:line="240" w:lineRule="auto"/>
        <w:jc w:val="center"/>
      </w:pPr>
      <w:r w:rsidRPr="00B51642">
        <w:t>WASHINGTON, DC 20268-0001</w:t>
      </w:r>
    </w:p>
    <w:p w14:paraId="2D92FA92" w14:textId="77777777" w:rsidR="00242591" w:rsidRPr="00B51642" w:rsidRDefault="00242591" w:rsidP="00242591">
      <w:pPr>
        <w:pStyle w:val="NormalLeft"/>
        <w:spacing w:line="240" w:lineRule="auto"/>
        <w:jc w:val="center"/>
      </w:pPr>
    </w:p>
    <w:p w14:paraId="7AA37B6B" w14:textId="77777777" w:rsidR="00242591" w:rsidRPr="00B51642" w:rsidRDefault="00242591" w:rsidP="00242591">
      <w:pPr>
        <w:pStyle w:val="NormalLeft"/>
        <w:spacing w:line="240" w:lineRule="auto"/>
        <w:jc w:val="center"/>
      </w:pPr>
    </w:p>
    <w:p w14:paraId="6CC2A38A" w14:textId="77777777" w:rsidR="00242591" w:rsidRPr="00B51642" w:rsidRDefault="00242591" w:rsidP="00242591">
      <w:pPr>
        <w:pStyle w:val="NormalLeft"/>
        <w:spacing w:line="240" w:lineRule="auto"/>
        <w:jc w:val="center"/>
      </w:pPr>
    </w:p>
    <w:p w14:paraId="0208E617" w14:textId="10A1E511" w:rsidR="00242591" w:rsidRPr="00B51642" w:rsidRDefault="00242591" w:rsidP="00146749">
      <w:pPr>
        <w:pStyle w:val="NormalLeft"/>
        <w:tabs>
          <w:tab w:val="left" w:pos="5040"/>
        </w:tabs>
        <w:spacing w:line="240" w:lineRule="auto"/>
        <w:ind w:left="5040" w:hanging="5040"/>
      </w:pPr>
      <w:r w:rsidRPr="00B51642">
        <w:t>Before Commissioners:</w:t>
      </w:r>
      <w:r w:rsidRPr="00B51642">
        <w:tab/>
      </w:r>
      <w:r w:rsidR="00DD368B" w:rsidRPr="00B51642">
        <w:t>Michael Kubayanda,</w:t>
      </w:r>
      <w:r w:rsidRPr="00B51642">
        <w:t xml:space="preserve"> Chairman;</w:t>
      </w:r>
      <w:r w:rsidRPr="00B51642">
        <w:br/>
      </w:r>
      <w:r w:rsidR="008E4663" w:rsidRPr="00B51642">
        <w:t>Mark Acton</w:t>
      </w:r>
      <w:r w:rsidR="00DD368B" w:rsidRPr="00B51642">
        <w:t xml:space="preserve">, </w:t>
      </w:r>
      <w:r w:rsidRPr="00B51642">
        <w:t>Vice Chairman;</w:t>
      </w:r>
      <w:r w:rsidRPr="00B51642">
        <w:br/>
      </w:r>
      <w:r w:rsidR="00DD368B" w:rsidRPr="00B51642">
        <w:t>Ann C. Fisher;</w:t>
      </w:r>
      <w:r w:rsidRPr="00B51642">
        <w:br/>
      </w:r>
      <w:r w:rsidR="00146749" w:rsidRPr="00B51642">
        <w:t>Ashley E. Poling;</w:t>
      </w:r>
      <w:r w:rsidR="006674DE">
        <w:t xml:space="preserve"> and</w:t>
      </w:r>
      <w:r w:rsidR="00146749" w:rsidRPr="00B51642">
        <w:br/>
      </w:r>
      <w:r w:rsidR="00DD368B" w:rsidRPr="00B51642">
        <w:t>Robert G. Taub</w:t>
      </w:r>
    </w:p>
    <w:p w14:paraId="2A6FA4B3" w14:textId="77777777" w:rsidR="00242591" w:rsidRPr="006E3E8A" w:rsidRDefault="00242591" w:rsidP="00242591">
      <w:pPr>
        <w:pStyle w:val="NormalLeft"/>
        <w:spacing w:line="240" w:lineRule="auto"/>
      </w:pPr>
    </w:p>
    <w:p w14:paraId="180E1E2E" w14:textId="77777777" w:rsidR="00242591" w:rsidRPr="006E3E8A" w:rsidRDefault="00242591" w:rsidP="00242591">
      <w:pPr>
        <w:pStyle w:val="NormalLeft"/>
        <w:spacing w:line="240" w:lineRule="auto"/>
      </w:pPr>
    </w:p>
    <w:p w14:paraId="70A88933" w14:textId="77777777" w:rsidR="00242591" w:rsidRPr="006E3E8A" w:rsidRDefault="00242591" w:rsidP="00242591">
      <w:pPr>
        <w:pStyle w:val="NormalLeft"/>
        <w:spacing w:line="240" w:lineRule="auto"/>
      </w:pPr>
    </w:p>
    <w:p w14:paraId="0CA4561A" w14:textId="77777777" w:rsidR="00242591" w:rsidRPr="006E3E8A" w:rsidRDefault="00242591" w:rsidP="00242591">
      <w:pPr>
        <w:pStyle w:val="NormalLeft"/>
        <w:tabs>
          <w:tab w:val="left" w:pos="6660"/>
          <w:tab w:val="left" w:pos="6840"/>
        </w:tabs>
        <w:spacing w:line="240" w:lineRule="auto"/>
      </w:pPr>
      <w:r w:rsidRPr="006E3E8A">
        <w:t>Priorities for Future Data</w:t>
      </w:r>
      <w:r w:rsidR="007F7FF8" w:rsidRPr="006E3E8A">
        <w:t xml:space="preserve"> Collection </w:t>
      </w:r>
      <w:r w:rsidR="007F7FF8" w:rsidRPr="006E3E8A">
        <w:tab/>
        <w:t>Docket No. RM20</w:t>
      </w:r>
      <w:r w:rsidR="00DD368B" w:rsidRPr="006E3E8A">
        <w:t>2</w:t>
      </w:r>
      <w:r w:rsidR="00847826" w:rsidRPr="006E3E8A">
        <w:t>2</w:t>
      </w:r>
      <w:r w:rsidR="007F7FF8" w:rsidRPr="006E3E8A">
        <w:t>-</w:t>
      </w:r>
      <w:r w:rsidR="00951975" w:rsidRPr="006E3E8A">
        <w:t>1</w:t>
      </w:r>
    </w:p>
    <w:p w14:paraId="1787DE91" w14:textId="1F66905D" w:rsidR="00242591" w:rsidRPr="006E3E8A" w:rsidRDefault="00242591" w:rsidP="00242591">
      <w:pPr>
        <w:pStyle w:val="NormalLeft"/>
        <w:tabs>
          <w:tab w:val="left" w:pos="6660"/>
          <w:tab w:val="left" w:pos="6840"/>
        </w:tabs>
        <w:spacing w:line="240" w:lineRule="auto"/>
      </w:pPr>
      <w:r w:rsidRPr="006E3E8A">
        <w:t>and Analytical Work Relating to</w:t>
      </w:r>
    </w:p>
    <w:p w14:paraId="52722037" w14:textId="77777777" w:rsidR="00242591" w:rsidRPr="006E3E8A" w:rsidRDefault="00242591" w:rsidP="00242591">
      <w:pPr>
        <w:pStyle w:val="NormalLeft"/>
        <w:tabs>
          <w:tab w:val="left" w:pos="6660"/>
          <w:tab w:val="left" w:pos="6840"/>
        </w:tabs>
        <w:spacing w:line="240" w:lineRule="auto"/>
        <w:rPr>
          <w:caps/>
        </w:rPr>
      </w:pPr>
      <w:r w:rsidRPr="006E3E8A">
        <w:t>Periodic Reporting</w:t>
      </w:r>
    </w:p>
    <w:p w14:paraId="7F4AB904" w14:textId="77777777" w:rsidR="00242591" w:rsidRPr="006E3E8A" w:rsidRDefault="00242591" w:rsidP="00242591">
      <w:pPr>
        <w:pStyle w:val="NormalLeft"/>
        <w:spacing w:line="240" w:lineRule="auto"/>
        <w:jc w:val="center"/>
      </w:pPr>
    </w:p>
    <w:p w14:paraId="70A8C2E4" w14:textId="77777777" w:rsidR="00242591" w:rsidRPr="006E3E8A" w:rsidRDefault="00242591" w:rsidP="00242591">
      <w:pPr>
        <w:pStyle w:val="NormalLeft"/>
        <w:spacing w:line="240" w:lineRule="auto"/>
        <w:jc w:val="center"/>
      </w:pPr>
    </w:p>
    <w:p w14:paraId="15498929" w14:textId="77777777" w:rsidR="00242591" w:rsidRPr="006E3E8A" w:rsidRDefault="00242591" w:rsidP="00242591">
      <w:pPr>
        <w:pStyle w:val="NormalLeft"/>
        <w:spacing w:line="240" w:lineRule="auto"/>
        <w:jc w:val="center"/>
      </w:pPr>
    </w:p>
    <w:p w14:paraId="411FA5C3" w14:textId="04BEE0F2" w:rsidR="00242591" w:rsidRPr="006E3E8A" w:rsidRDefault="00F724B0" w:rsidP="00242591">
      <w:pPr>
        <w:pStyle w:val="NormalLeft"/>
        <w:spacing w:line="240" w:lineRule="auto"/>
        <w:jc w:val="center"/>
        <w:rPr>
          <w:caps/>
        </w:rPr>
      </w:pPr>
      <w:r w:rsidRPr="006E3E8A">
        <w:rPr>
          <w:caps/>
        </w:rPr>
        <w:t xml:space="preserve">ORDER </w:t>
      </w:r>
      <w:r w:rsidR="008E4663" w:rsidRPr="006E3E8A">
        <w:rPr>
          <w:caps/>
        </w:rPr>
        <w:t>REQU</w:t>
      </w:r>
      <w:r w:rsidR="00CE0869" w:rsidRPr="006E3E8A">
        <w:rPr>
          <w:caps/>
        </w:rPr>
        <w:t>IR</w:t>
      </w:r>
      <w:r w:rsidR="008E4663" w:rsidRPr="006E3E8A">
        <w:rPr>
          <w:caps/>
        </w:rPr>
        <w:t xml:space="preserve">ING </w:t>
      </w:r>
      <w:r w:rsidR="009831E6" w:rsidRPr="006E3E8A">
        <w:rPr>
          <w:caps/>
        </w:rPr>
        <w:t>postal service progress</w:t>
      </w:r>
      <w:r w:rsidR="008E4663" w:rsidRPr="006E3E8A">
        <w:rPr>
          <w:caps/>
        </w:rPr>
        <w:t xml:space="preserve"> UPDATE</w:t>
      </w:r>
    </w:p>
    <w:p w14:paraId="762708B2" w14:textId="77777777" w:rsidR="00242591" w:rsidRPr="006E3E8A" w:rsidRDefault="00242591" w:rsidP="00242591">
      <w:pPr>
        <w:pStyle w:val="NormalLeft"/>
        <w:spacing w:line="240" w:lineRule="auto"/>
        <w:jc w:val="center"/>
      </w:pPr>
    </w:p>
    <w:p w14:paraId="52859338" w14:textId="77777777" w:rsidR="00242591" w:rsidRPr="006E3E8A" w:rsidRDefault="00242591" w:rsidP="00242591">
      <w:pPr>
        <w:pStyle w:val="NormalLeft"/>
        <w:spacing w:line="240" w:lineRule="auto"/>
        <w:jc w:val="center"/>
      </w:pPr>
    </w:p>
    <w:p w14:paraId="696D9D3D" w14:textId="304D8B23" w:rsidR="00242591" w:rsidRPr="006E3E8A" w:rsidRDefault="00926344" w:rsidP="005F4CCA">
      <w:pPr>
        <w:pStyle w:val="NormalLeft"/>
        <w:spacing w:line="240" w:lineRule="auto"/>
        <w:jc w:val="center"/>
      </w:pPr>
      <w:r w:rsidRPr="006E3E8A">
        <w:t xml:space="preserve">(Issued </w:t>
      </w:r>
      <w:r w:rsidR="008E4663" w:rsidRPr="006E3E8A">
        <w:t>May</w:t>
      </w:r>
      <w:r w:rsidR="00A75D88" w:rsidRPr="006E3E8A">
        <w:t xml:space="preserve"> </w:t>
      </w:r>
      <w:r w:rsidR="00774891" w:rsidRPr="006E3E8A">
        <w:t>8</w:t>
      </w:r>
      <w:r w:rsidR="00B52189" w:rsidRPr="006E3E8A">
        <w:t xml:space="preserve">, </w:t>
      </w:r>
      <w:r w:rsidR="00242591" w:rsidRPr="006E3E8A">
        <w:t>20</w:t>
      </w:r>
      <w:r w:rsidR="00DD368B" w:rsidRPr="006E3E8A">
        <w:t>2</w:t>
      </w:r>
      <w:r w:rsidR="008E4663" w:rsidRPr="006E3E8A">
        <w:t>3</w:t>
      </w:r>
      <w:r w:rsidR="00242591" w:rsidRPr="006E3E8A">
        <w:t>)</w:t>
      </w:r>
    </w:p>
    <w:p w14:paraId="2D361B75" w14:textId="77777777" w:rsidR="00ED7D59" w:rsidRPr="006E3E8A" w:rsidRDefault="005F4CCA" w:rsidP="00B52189">
      <w:pPr>
        <w:pStyle w:val="Heading1"/>
      </w:pPr>
      <w:r w:rsidRPr="006E3E8A">
        <w:t>introduction</w:t>
      </w:r>
    </w:p>
    <w:p w14:paraId="0FC8195F" w14:textId="18729B4E" w:rsidR="005F4CCA" w:rsidRPr="006E3E8A" w:rsidRDefault="00C9705A" w:rsidP="00AB7CCF">
      <w:r w:rsidRPr="006E3E8A">
        <w:t xml:space="preserve">On October 8, 2021, pursuant to 39 U.S.C. 3652(e), </w:t>
      </w:r>
      <w:r w:rsidR="005F4CCA" w:rsidRPr="006E3E8A">
        <w:t xml:space="preserve">the Commission </w:t>
      </w:r>
      <w:r w:rsidR="00AB7CCF" w:rsidRPr="006E3E8A">
        <w:t>established this docket</w:t>
      </w:r>
      <w:r w:rsidR="008462AA" w:rsidRPr="006E3E8A">
        <w:t xml:space="preserve"> </w:t>
      </w:r>
      <w:r w:rsidR="005F4CCA" w:rsidRPr="006E3E8A">
        <w:t xml:space="preserve">to consider possible improvements to the quality, accuracy, or completeness of data provided by the Postal Service in its </w:t>
      </w:r>
      <w:r w:rsidR="003A5AFF" w:rsidRPr="006E3E8A">
        <w:rPr>
          <w:i/>
          <w:iCs/>
        </w:rPr>
        <w:t>A</w:t>
      </w:r>
      <w:r w:rsidR="005F4CCA" w:rsidRPr="006E3E8A">
        <w:rPr>
          <w:i/>
          <w:iCs/>
        </w:rPr>
        <w:t xml:space="preserve">nnual </w:t>
      </w:r>
      <w:r w:rsidR="003A5AFF" w:rsidRPr="006E3E8A">
        <w:rPr>
          <w:i/>
          <w:iCs/>
        </w:rPr>
        <w:t>C</w:t>
      </w:r>
      <w:r w:rsidR="005F4CCA" w:rsidRPr="006E3E8A">
        <w:rPr>
          <w:i/>
          <w:iCs/>
        </w:rPr>
        <w:t xml:space="preserve">ompliance </w:t>
      </w:r>
      <w:r w:rsidR="003A5AFF" w:rsidRPr="006E3E8A">
        <w:rPr>
          <w:i/>
          <w:iCs/>
        </w:rPr>
        <w:t>R</w:t>
      </w:r>
      <w:r w:rsidR="005F4CCA" w:rsidRPr="006E3E8A">
        <w:rPr>
          <w:i/>
          <w:iCs/>
        </w:rPr>
        <w:t>eports</w:t>
      </w:r>
      <w:r w:rsidR="005F4CCA" w:rsidRPr="006E3E8A">
        <w:t>.</w:t>
      </w:r>
      <w:r w:rsidR="00AB7CCF" w:rsidRPr="006E3E8A">
        <w:rPr>
          <w:rStyle w:val="FootnoteReference"/>
        </w:rPr>
        <w:footnoteReference w:id="2"/>
      </w:r>
      <w:r w:rsidR="00AB7CCF" w:rsidRPr="006E3E8A">
        <w:t xml:space="preserve">  </w:t>
      </w:r>
      <w:r w:rsidR="005F4CCA" w:rsidRPr="006E3E8A">
        <w:t>This docket is designed to involve the Postal Service, its stakeholders, and the public in th</w:t>
      </w:r>
      <w:r w:rsidR="008462AA" w:rsidRPr="006E3E8A">
        <w:t>is</w:t>
      </w:r>
      <w:r w:rsidR="005F4CCA" w:rsidRPr="006E3E8A">
        <w:t xml:space="preserve"> process. </w:t>
      </w:r>
      <w:r w:rsidR="008E4663" w:rsidRPr="006E3E8A">
        <w:t xml:space="preserve"> </w:t>
      </w:r>
      <w:r w:rsidR="005F4CCA" w:rsidRPr="006E3E8A">
        <w:t xml:space="preserve">The objective is to arrive at a consensus as to the priorities that should be assigned to various areas of future research and the nature of the data and analytical </w:t>
      </w:r>
      <w:r w:rsidR="005F4CCA" w:rsidRPr="006E3E8A">
        <w:lastRenderedPageBreak/>
        <w:t>methods that future research should employ.</w:t>
      </w:r>
      <w:r w:rsidRPr="006E3E8A">
        <w:t xml:space="preserve">  Order No. 6004 set March 25, 2022 as the deadline for initial comments.  Order No. 6004 at 11.</w:t>
      </w:r>
    </w:p>
    <w:p w14:paraId="0A81F807" w14:textId="690DA552" w:rsidR="008462AA" w:rsidRPr="006E3E8A" w:rsidRDefault="008462AA" w:rsidP="00AB7CCF">
      <w:r w:rsidRPr="006E3E8A">
        <w:t xml:space="preserve">On March 10, 2022, United Parcel Service, Inc. (UPS) filed a motion to request that the Commission issue an information request to the Postal Service to obtain </w:t>
      </w:r>
      <w:r w:rsidR="0049155A" w:rsidRPr="006E3E8A">
        <w:t>answers to a set of proposed questions.</w:t>
      </w:r>
      <w:r w:rsidR="0049155A" w:rsidRPr="006E3E8A">
        <w:rPr>
          <w:rStyle w:val="FootnoteReference"/>
        </w:rPr>
        <w:footnoteReference w:id="3"/>
      </w:r>
      <w:r w:rsidR="00790BEE" w:rsidRPr="006E3E8A">
        <w:t xml:space="preserve">  On the same day, the Postal Service filed a response in opposition to the UPS Motion.</w:t>
      </w:r>
      <w:r w:rsidR="00790BEE" w:rsidRPr="006E3E8A">
        <w:rPr>
          <w:rStyle w:val="FootnoteReference"/>
        </w:rPr>
        <w:footnoteReference w:id="4"/>
      </w:r>
      <w:r w:rsidR="00C9705A" w:rsidRPr="006E3E8A">
        <w:t xml:space="preserve">  On March 11, 2022, the Commission denied the UPS Motion </w:t>
      </w:r>
      <w:r w:rsidR="0070047B" w:rsidRPr="006E3E8A">
        <w:t>without prejudice, and set April 29, 2022 as the deadline for reply comments so that parties may have an opportunity to address any matters raised by the initial comments.</w:t>
      </w:r>
      <w:r w:rsidR="0070047B" w:rsidRPr="006E3E8A">
        <w:rPr>
          <w:rStyle w:val="FootnoteReference"/>
        </w:rPr>
        <w:footnoteReference w:id="5"/>
      </w:r>
    </w:p>
    <w:p w14:paraId="6CCB05DE" w14:textId="3020D013" w:rsidR="00BE0071" w:rsidRPr="006E3E8A" w:rsidRDefault="00081C10" w:rsidP="00585CF0">
      <w:r w:rsidRPr="006E3E8A">
        <w:t>Parties timely filed initial and reply comments, as discussed below.</w:t>
      </w:r>
    </w:p>
    <w:p w14:paraId="37C6B16F" w14:textId="77777777" w:rsidR="005F4CCA" w:rsidRPr="006E3E8A" w:rsidRDefault="005F4CCA" w:rsidP="00081C10">
      <w:pPr>
        <w:pStyle w:val="Heading1"/>
      </w:pPr>
      <w:r w:rsidRPr="006E3E8A">
        <w:t>PARTIES’ INITIAL COMMENTS</w:t>
      </w:r>
    </w:p>
    <w:p w14:paraId="5C91C976" w14:textId="1383AD49" w:rsidR="005F4CCA" w:rsidRPr="006E3E8A" w:rsidRDefault="006A08DF" w:rsidP="005F4CCA">
      <w:r w:rsidRPr="006E3E8A">
        <w:t>T</w:t>
      </w:r>
      <w:r w:rsidR="005F4CCA" w:rsidRPr="006E3E8A">
        <w:t>he Postal Service,</w:t>
      </w:r>
      <w:r w:rsidR="005F4CCA" w:rsidRPr="006E3E8A">
        <w:rPr>
          <w:vertAlign w:val="superscript"/>
        </w:rPr>
        <w:footnoteReference w:id="6"/>
      </w:r>
      <w:r w:rsidR="005F4CCA" w:rsidRPr="006E3E8A">
        <w:t xml:space="preserve"> U</w:t>
      </w:r>
      <w:r w:rsidR="0049155A" w:rsidRPr="006E3E8A">
        <w:t>PS</w:t>
      </w:r>
      <w:r w:rsidR="005F4CCA" w:rsidRPr="006E3E8A">
        <w:t>,</w:t>
      </w:r>
      <w:r w:rsidR="005F4CCA" w:rsidRPr="006E3E8A">
        <w:rPr>
          <w:vertAlign w:val="superscript"/>
        </w:rPr>
        <w:footnoteReference w:id="7"/>
      </w:r>
      <w:r w:rsidR="005F4CCA" w:rsidRPr="006E3E8A">
        <w:t xml:space="preserve"> the National Postal Policy Council (NPPC),</w:t>
      </w:r>
      <w:r w:rsidR="005F4CCA" w:rsidRPr="006E3E8A">
        <w:rPr>
          <w:vertAlign w:val="superscript"/>
        </w:rPr>
        <w:footnoteReference w:id="8"/>
      </w:r>
      <w:r w:rsidR="005F4CCA" w:rsidRPr="006E3E8A">
        <w:t xml:space="preserve"> </w:t>
      </w:r>
      <w:bookmarkStart w:id="0" w:name="_Hlk109837977"/>
      <w:r w:rsidR="005F4CCA" w:rsidRPr="006E3E8A">
        <w:t xml:space="preserve">the Association for Postal Commerce </w:t>
      </w:r>
      <w:bookmarkEnd w:id="0"/>
      <w:r w:rsidR="005F4CCA" w:rsidRPr="006E3E8A">
        <w:t>(PostCom),</w:t>
      </w:r>
      <w:r w:rsidR="005F4CCA" w:rsidRPr="006E3E8A">
        <w:rPr>
          <w:vertAlign w:val="superscript"/>
        </w:rPr>
        <w:footnoteReference w:id="9"/>
      </w:r>
      <w:r w:rsidR="005F4CCA" w:rsidRPr="006E3E8A">
        <w:t xml:space="preserve"> and the Public Representative</w:t>
      </w:r>
      <w:r w:rsidRPr="006E3E8A">
        <w:t xml:space="preserve"> filed initial comments in this docket</w:t>
      </w:r>
      <w:r w:rsidR="005F4CCA" w:rsidRPr="006E3E8A">
        <w:t>.</w:t>
      </w:r>
      <w:r w:rsidR="005F4CCA" w:rsidRPr="006E3E8A">
        <w:rPr>
          <w:vertAlign w:val="superscript"/>
        </w:rPr>
        <w:footnoteReference w:id="10"/>
      </w:r>
    </w:p>
    <w:p w14:paraId="5FEAA169" w14:textId="77777777" w:rsidR="005B32E4" w:rsidRPr="006E3E8A" w:rsidRDefault="005B32E4" w:rsidP="005B32E4">
      <w:pPr>
        <w:pStyle w:val="Heading2"/>
      </w:pPr>
      <w:r w:rsidRPr="006E3E8A">
        <w:lastRenderedPageBreak/>
        <w:t>Postal Service Initial Comments</w:t>
      </w:r>
    </w:p>
    <w:p w14:paraId="473F286A" w14:textId="0DBA9374" w:rsidR="005F4CCA" w:rsidRPr="006E3E8A" w:rsidRDefault="005F4CCA" w:rsidP="005F4CCA">
      <w:r w:rsidRPr="006E3E8A">
        <w:t xml:space="preserve">In its </w:t>
      </w:r>
      <w:r w:rsidR="008F08FC" w:rsidRPr="006E3E8A">
        <w:t>i</w:t>
      </w:r>
      <w:r w:rsidRPr="006E3E8A">
        <w:t>nitial comments</w:t>
      </w:r>
      <w:r w:rsidR="00033D53" w:rsidRPr="006E3E8A">
        <w:t>,</w:t>
      </w:r>
      <w:r w:rsidRPr="006E3E8A">
        <w:t xml:space="preserve"> the Postal Service provided a list of what it characterized as “near-term,” “medium-term,” and “long-term” research topics, distinguishing between the groups based on how much agreement there seems to be on the basic analytical approach to take, and on the scale of any special data collection efforts that is likely to be required.  Postal Service Initial Comments at 6.  In reviewing possible areas of study, the Postal Service indicates that it considered the potential benefits to improve the accuracy of product costs, including the degree to which the existing study is inaccurate or obsolete.  </w:t>
      </w:r>
      <w:r w:rsidRPr="006E3E8A">
        <w:rPr>
          <w:i/>
        </w:rPr>
        <w:t>Id.</w:t>
      </w:r>
      <w:r w:rsidRPr="006E3E8A">
        <w:t xml:space="preserve">  The Postal Service states that it also contemplated the feasibility and practicality of implementing the study, on both direct and indirect cost components, and its likelihood of success.  </w:t>
      </w:r>
      <w:r w:rsidRPr="006E3E8A">
        <w:rPr>
          <w:i/>
          <w:iCs/>
        </w:rPr>
        <w:t>Id.</w:t>
      </w:r>
    </w:p>
    <w:p w14:paraId="5CFE3A3B" w14:textId="34A266D9" w:rsidR="008364DE" w:rsidRPr="006E3E8A" w:rsidRDefault="005F4CCA" w:rsidP="008D72CD">
      <w:r w:rsidRPr="006E3E8A">
        <w:t xml:space="preserve">The Postal Service proposes the following taxonomy of possible studies and includes a tentative schedule for filing a rulemaking </w:t>
      </w:r>
      <w:r w:rsidR="0064773B" w:rsidRPr="006E3E8A">
        <w:t>petition</w:t>
      </w:r>
      <w:r w:rsidRPr="006E3E8A">
        <w:t xml:space="preserve"> to present the proposed changes in analytical principles or provide a formal update through another channel (</w:t>
      </w:r>
      <w:r w:rsidRPr="006E3E8A">
        <w:rPr>
          <w:i/>
        </w:rPr>
        <w:t>e.g.</w:t>
      </w:r>
      <w:r w:rsidRPr="006E3E8A">
        <w:t xml:space="preserve">, an </w:t>
      </w:r>
      <w:r w:rsidRPr="006E3E8A">
        <w:rPr>
          <w:i/>
        </w:rPr>
        <w:t>Annual Compliance Report</w:t>
      </w:r>
      <w:r w:rsidRPr="006E3E8A">
        <w:t xml:space="preserve"> (ACR) preface) if a rulemaking docket is not warranted.  </w:t>
      </w:r>
      <w:r w:rsidRPr="006E3E8A">
        <w:rPr>
          <w:i/>
        </w:rPr>
        <w:t>Id.</w:t>
      </w:r>
      <w:r w:rsidRPr="006E3E8A">
        <w:t xml:space="preserve"> at 5.  The Postal Service states that the tentative schedule is supplied to enlighten the Commission and other participants as to the resources required for these efforts, but it should not be considered as anything but preliminary.  </w:t>
      </w:r>
      <w:r w:rsidRPr="006E3E8A">
        <w:rPr>
          <w:i/>
        </w:rPr>
        <w:t>Id.</w:t>
      </w:r>
      <w:r w:rsidRPr="006E3E8A">
        <w:t xml:space="preserve">  The Postal Service emphasizes that the dates supplied with its comments are provisional because many of these efforts require extensive resources and analyses that make it very difficult to forecast when these studies would be ready to be presented in a rulemaking docket or provide a status report through another channel.  </w:t>
      </w:r>
      <w:r w:rsidRPr="006E3E8A">
        <w:rPr>
          <w:i/>
        </w:rPr>
        <w:t>Id.</w:t>
      </w:r>
      <w:r w:rsidRPr="006E3E8A">
        <w:t xml:space="preserve">  In addition, </w:t>
      </w:r>
      <w:r w:rsidR="00580FFC" w:rsidRPr="006E3E8A">
        <w:t>it</w:t>
      </w:r>
      <w:r w:rsidRPr="006E3E8A">
        <w:t xml:space="preserve"> note</w:t>
      </w:r>
      <w:r w:rsidR="00580FFC" w:rsidRPr="006E3E8A">
        <w:t>s</w:t>
      </w:r>
      <w:r w:rsidRPr="006E3E8A">
        <w:t>, it is also difficult to predict what other initiatives may arise over the next few years that may supersede one or more of these efforts</w:t>
      </w:r>
      <w:r w:rsidRPr="006E3E8A">
        <w:rPr>
          <w:i/>
          <w:iCs/>
        </w:rPr>
        <w:t>.  Id.</w:t>
      </w:r>
    </w:p>
    <w:p w14:paraId="200CCD77" w14:textId="77777777" w:rsidR="004661D6" w:rsidRPr="006E3E8A" w:rsidRDefault="004661D6" w:rsidP="003E2721">
      <w:pPr>
        <w:keepNext/>
        <w:keepLines/>
        <w:spacing w:line="240" w:lineRule="auto"/>
        <w:ind w:firstLine="0"/>
        <w:jc w:val="center"/>
        <w:rPr>
          <w:rFonts w:ascii="Calibri" w:hAnsi="Calibri" w:cs="Calibri"/>
          <w:b/>
          <w:bCs w:val="0"/>
        </w:rPr>
      </w:pPr>
      <w:r w:rsidRPr="006E3E8A">
        <w:rPr>
          <w:rFonts w:ascii="Calibri" w:hAnsi="Calibri" w:cs="Calibri"/>
          <w:b/>
          <w:bCs w:val="0"/>
        </w:rPr>
        <w:lastRenderedPageBreak/>
        <w:t xml:space="preserve">The Postal Service’s </w:t>
      </w:r>
      <w:r w:rsidR="00A202DF" w:rsidRPr="006E3E8A">
        <w:rPr>
          <w:rFonts w:ascii="Calibri" w:hAnsi="Calibri" w:cs="Calibri"/>
          <w:b/>
          <w:bCs w:val="0"/>
        </w:rPr>
        <w:t xml:space="preserve">Summary of Priorities, Study Areas, Tentative Schedules, </w:t>
      </w:r>
    </w:p>
    <w:p w14:paraId="26331484" w14:textId="3628AB39" w:rsidR="00A202DF" w:rsidRPr="006E3E8A" w:rsidRDefault="00A202DF" w:rsidP="003E2721">
      <w:pPr>
        <w:keepNext/>
        <w:keepLines/>
        <w:spacing w:line="240" w:lineRule="auto"/>
        <w:ind w:firstLine="0"/>
        <w:jc w:val="center"/>
        <w:rPr>
          <w:rFonts w:ascii="Calibri" w:hAnsi="Calibri" w:cs="Calibri"/>
        </w:rPr>
      </w:pPr>
      <w:r w:rsidRPr="006E3E8A">
        <w:rPr>
          <w:rFonts w:ascii="Calibri" w:hAnsi="Calibri" w:cs="Calibri"/>
          <w:b/>
          <w:bCs w:val="0"/>
        </w:rPr>
        <w:t>and Action Plans</w:t>
      </w:r>
    </w:p>
    <w:p w14:paraId="513D7C34" w14:textId="77777777" w:rsidR="001C6066" w:rsidRPr="006E3E8A" w:rsidRDefault="001C6066" w:rsidP="003E2721">
      <w:pPr>
        <w:keepNext/>
        <w:keepLines/>
        <w:spacing w:line="240" w:lineRule="auto"/>
        <w:ind w:firstLine="0"/>
        <w:jc w:val="center"/>
        <w:rPr>
          <w:rFonts w:ascii="Calibri" w:hAnsi="Calibri" w:cs="Calibri"/>
        </w:rPr>
      </w:pPr>
    </w:p>
    <w:tbl>
      <w:tblPr>
        <w:tblStyle w:val="GridTable5Dark-Accent1"/>
        <w:tblW w:w="0" w:type="auto"/>
        <w:jc w:val="center"/>
        <w:tblLook w:val="04A0" w:firstRow="1" w:lastRow="0" w:firstColumn="1" w:lastColumn="0" w:noHBand="0" w:noVBand="1"/>
      </w:tblPr>
      <w:tblGrid>
        <w:gridCol w:w="1265"/>
        <w:gridCol w:w="1699"/>
        <w:gridCol w:w="1171"/>
        <w:gridCol w:w="5215"/>
      </w:tblGrid>
      <w:tr w:rsidR="006E3E8A" w:rsidRPr="006E3E8A" w14:paraId="499CDB6B" w14:textId="77777777" w:rsidTr="00A56E4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65" w:type="dxa"/>
          </w:tcPr>
          <w:p w14:paraId="428F4434" w14:textId="28D3B601" w:rsidR="004438B8" w:rsidRPr="006E3E8A" w:rsidRDefault="001C6066" w:rsidP="00035A0B">
            <w:pPr>
              <w:keepNext/>
              <w:keepLines/>
              <w:spacing w:line="240" w:lineRule="auto"/>
              <w:ind w:firstLine="0"/>
              <w:jc w:val="center"/>
              <w:rPr>
                <w:rFonts w:asciiTheme="minorHAnsi" w:hAnsiTheme="minorHAnsi" w:cstheme="minorHAnsi"/>
                <w:color w:val="auto"/>
                <w:sz w:val="20"/>
                <w:szCs w:val="20"/>
              </w:rPr>
            </w:pPr>
            <w:r w:rsidRPr="006E3E8A">
              <w:rPr>
                <w:rFonts w:asciiTheme="minorHAnsi" w:hAnsiTheme="minorHAnsi" w:cstheme="minorHAnsi"/>
                <w:color w:val="auto"/>
                <w:sz w:val="20"/>
                <w:szCs w:val="20"/>
              </w:rPr>
              <w:t>Priority</w:t>
            </w:r>
          </w:p>
        </w:tc>
        <w:tc>
          <w:tcPr>
            <w:tcW w:w="1699" w:type="dxa"/>
          </w:tcPr>
          <w:p w14:paraId="0D385D3B" w14:textId="502D3635" w:rsidR="004438B8" w:rsidRPr="006E3E8A" w:rsidRDefault="001C6066" w:rsidP="00F635C9">
            <w:pPr>
              <w:keepNext/>
              <w:keepLines/>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6E3E8A">
              <w:rPr>
                <w:rFonts w:asciiTheme="minorHAnsi" w:hAnsiTheme="minorHAnsi" w:cstheme="minorHAnsi"/>
                <w:color w:val="auto"/>
                <w:sz w:val="20"/>
                <w:szCs w:val="20"/>
              </w:rPr>
              <w:t>Study Area</w:t>
            </w:r>
          </w:p>
        </w:tc>
        <w:tc>
          <w:tcPr>
            <w:tcW w:w="1171" w:type="dxa"/>
          </w:tcPr>
          <w:p w14:paraId="465D47D9" w14:textId="173E0A4B" w:rsidR="004438B8" w:rsidRPr="006E3E8A" w:rsidRDefault="00035A0B" w:rsidP="00F635C9">
            <w:pPr>
              <w:keepNext/>
              <w:keepLines/>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6E3E8A">
              <w:rPr>
                <w:rFonts w:asciiTheme="minorHAnsi" w:hAnsiTheme="minorHAnsi" w:cstheme="minorHAnsi"/>
                <w:color w:val="auto"/>
                <w:sz w:val="20"/>
                <w:szCs w:val="20"/>
              </w:rPr>
              <w:t>Timing</w:t>
            </w:r>
          </w:p>
        </w:tc>
        <w:tc>
          <w:tcPr>
            <w:tcW w:w="5215" w:type="dxa"/>
          </w:tcPr>
          <w:p w14:paraId="039A1824" w14:textId="2B99848D" w:rsidR="004438B8" w:rsidRPr="006E3E8A" w:rsidRDefault="001C6066" w:rsidP="00F635C9">
            <w:pPr>
              <w:keepNext/>
              <w:keepLines/>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6E3E8A">
              <w:rPr>
                <w:rFonts w:asciiTheme="minorHAnsi" w:hAnsiTheme="minorHAnsi" w:cstheme="minorHAnsi"/>
                <w:color w:val="auto"/>
                <w:sz w:val="20"/>
                <w:szCs w:val="20"/>
              </w:rPr>
              <w:t>Action Plan</w:t>
            </w:r>
          </w:p>
        </w:tc>
      </w:tr>
      <w:tr w:rsidR="006E3E8A" w:rsidRPr="006E3E8A" w14:paraId="78F6AC24" w14:textId="77777777" w:rsidTr="00A56E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65" w:type="dxa"/>
            <w:vMerge w:val="restart"/>
          </w:tcPr>
          <w:p w14:paraId="67C5C938" w14:textId="77777777" w:rsidR="006A77DC" w:rsidRPr="006E3E8A" w:rsidRDefault="006A77DC" w:rsidP="0082045B">
            <w:pPr>
              <w:keepNext/>
              <w:keepLines/>
              <w:spacing w:line="240" w:lineRule="auto"/>
              <w:ind w:firstLine="0"/>
              <w:jc w:val="center"/>
              <w:rPr>
                <w:rFonts w:asciiTheme="minorHAnsi" w:hAnsiTheme="minorHAnsi" w:cstheme="minorHAnsi"/>
                <w:b w:val="0"/>
                <w:color w:val="auto"/>
                <w:sz w:val="20"/>
                <w:szCs w:val="20"/>
              </w:rPr>
            </w:pPr>
          </w:p>
          <w:p w14:paraId="0D2D3F2C" w14:textId="77777777" w:rsidR="006A77DC" w:rsidRPr="006E3E8A" w:rsidRDefault="006A77DC" w:rsidP="0082045B">
            <w:pPr>
              <w:keepNext/>
              <w:keepLines/>
              <w:spacing w:line="240" w:lineRule="auto"/>
              <w:ind w:firstLine="0"/>
              <w:jc w:val="center"/>
              <w:rPr>
                <w:rFonts w:asciiTheme="minorHAnsi" w:hAnsiTheme="minorHAnsi" w:cstheme="minorHAnsi"/>
                <w:b w:val="0"/>
                <w:color w:val="auto"/>
                <w:sz w:val="20"/>
                <w:szCs w:val="20"/>
              </w:rPr>
            </w:pPr>
          </w:p>
          <w:p w14:paraId="504CAFBB" w14:textId="77777777" w:rsidR="006A77DC" w:rsidRPr="006E3E8A" w:rsidRDefault="006A77DC" w:rsidP="0082045B">
            <w:pPr>
              <w:keepNext/>
              <w:keepLines/>
              <w:spacing w:line="240" w:lineRule="auto"/>
              <w:ind w:firstLine="0"/>
              <w:jc w:val="center"/>
              <w:rPr>
                <w:rFonts w:asciiTheme="minorHAnsi" w:hAnsiTheme="minorHAnsi" w:cstheme="minorHAnsi"/>
                <w:b w:val="0"/>
                <w:color w:val="auto"/>
                <w:sz w:val="20"/>
                <w:szCs w:val="20"/>
              </w:rPr>
            </w:pPr>
          </w:p>
          <w:p w14:paraId="535ED64C" w14:textId="77777777" w:rsidR="006A77DC" w:rsidRPr="006E3E8A" w:rsidRDefault="006A77DC" w:rsidP="0082045B">
            <w:pPr>
              <w:keepNext/>
              <w:keepLines/>
              <w:spacing w:line="240" w:lineRule="auto"/>
              <w:ind w:firstLine="0"/>
              <w:jc w:val="center"/>
              <w:rPr>
                <w:rFonts w:asciiTheme="minorHAnsi" w:hAnsiTheme="minorHAnsi" w:cstheme="minorHAnsi"/>
                <w:b w:val="0"/>
                <w:color w:val="auto"/>
                <w:sz w:val="20"/>
                <w:szCs w:val="20"/>
              </w:rPr>
            </w:pPr>
          </w:p>
          <w:p w14:paraId="684553B3" w14:textId="77777777" w:rsidR="006A77DC" w:rsidRPr="006E3E8A" w:rsidRDefault="006A77DC" w:rsidP="0082045B">
            <w:pPr>
              <w:keepNext/>
              <w:keepLines/>
              <w:spacing w:line="240" w:lineRule="auto"/>
              <w:ind w:firstLine="0"/>
              <w:jc w:val="center"/>
              <w:rPr>
                <w:rFonts w:asciiTheme="minorHAnsi" w:hAnsiTheme="minorHAnsi" w:cstheme="minorHAnsi"/>
                <w:b w:val="0"/>
                <w:color w:val="auto"/>
                <w:sz w:val="20"/>
                <w:szCs w:val="20"/>
              </w:rPr>
            </w:pPr>
          </w:p>
          <w:p w14:paraId="2984B7F4" w14:textId="0DD6108B" w:rsidR="00786A66" w:rsidRPr="006E3E8A" w:rsidRDefault="00786A66" w:rsidP="0082045B">
            <w:pPr>
              <w:keepNext/>
              <w:keepLines/>
              <w:spacing w:line="240" w:lineRule="auto"/>
              <w:ind w:firstLine="0"/>
              <w:jc w:val="center"/>
              <w:rPr>
                <w:rFonts w:asciiTheme="minorHAnsi" w:hAnsiTheme="minorHAnsi" w:cstheme="minorHAnsi"/>
                <w:b w:val="0"/>
                <w:color w:val="auto"/>
                <w:sz w:val="20"/>
                <w:szCs w:val="20"/>
              </w:rPr>
            </w:pPr>
            <w:r w:rsidRPr="006E3E8A">
              <w:rPr>
                <w:rFonts w:asciiTheme="minorHAnsi" w:hAnsiTheme="minorHAnsi" w:cstheme="minorHAnsi"/>
                <w:color w:val="auto"/>
                <w:sz w:val="20"/>
                <w:szCs w:val="20"/>
              </w:rPr>
              <w:t>Near-Term</w:t>
            </w:r>
          </w:p>
        </w:tc>
        <w:tc>
          <w:tcPr>
            <w:tcW w:w="1699" w:type="dxa"/>
          </w:tcPr>
          <w:p w14:paraId="6391DE82" w14:textId="1F668C2D" w:rsidR="00786A66" w:rsidRPr="006E3E8A" w:rsidRDefault="00786A66" w:rsidP="0082045B">
            <w:pPr>
              <w:keepNext/>
              <w:keepLines/>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E3E8A">
              <w:rPr>
                <w:rFonts w:asciiTheme="minorHAnsi" w:hAnsiTheme="minorHAnsi" w:cstheme="minorHAnsi"/>
                <w:sz w:val="20"/>
                <w:szCs w:val="20"/>
              </w:rPr>
              <w:t>Postmaster Costs</w:t>
            </w:r>
            <w:r w:rsidR="003D7D88" w:rsidRPr="006E3E8A">
              <w:rPr>
                <w:rFonts w:asciiTheme="minorHAnsi" w:hAnsiTheme="minorHAnsi" w:cstheme="minorHAnsi"/>
                <w:sz w:val="20"/>
                <w:szCs w:val="20"/>
              </w:rPr>
              <w:t>*</w:t>
            </w:r>
          </w:p>
        </w:tc>
        <w:tc>
          <w:tcPr>
            <w:tcW w:w="1171" w:type="dxa"/>
          </w:tcPr>
          <w:p w14:paraId="6E121D61" w14:textId="77777777" w:rsidR="00786A66" w:rsidRPr="006E3E8A" w:rsidRDefault="00786A66" w:rsidP="0082045B">
            <w:pPr>
              <w:keepNext/>
              <w:keepLines/>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E3E8A">
              <w:rPr>
                <w:rFonts w:asciiTheme="minorHAnsi" w:hAnsiTheme="minorHAnsi" w:cstheme="minorHAnsi"/>
                <w:sz w:val="20"/>
                <w:szCs w:val="20"/>
              </w:rPr>
              <w:t>FY 2022</w:t>
            </w:r>
          </w:p>
        </w:tc>
        <w:tc>
          <w:tcPr>
            <w:tcW w:w="5215" w:type="dxa"/>
          </w:tcPr>
          <w:p w14:paraId="47FE119E" w14:textId="77777777" w:rsidR="00786A66" w:rsidRPr="006E3E8A" w:rsidRDefault="00786A66" w:rsidP="0082045B">
            <w:pPr>
              <w:keepNext/>
              <w:keepLines/>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E3E8A">
              <w:rPr>
                <w:rFonts w:asciiTheme="minorHAnsi" w:hAnsiTheme="minorHAnsi" w:cstheme="minorHAnsi"/>
                <w:sz w:val="20"/>
                <w:szCs w:val="20"/>
              </w:rPr>
              <w:t>Initiate new rulemaking docket that incorporates Commission's suggestions</w:t>
            </w:r>
          </w:p>
        </w:tc>
      </w:tr>
      <w:tr w:rsidR="006E3E8A" w:rsidRPr="006E3E8A" w14:paraId="4E90B021" w14:textId="77777777" w:rsidTr="00A56E46">
        <w:trPr>
          <w:jc w:val="center"/>
        </w:trPr>
        <w:tc>
          <w:tcPr>
            <w:cnfStyle w:val="001000000000" w:firstRow="0" w:lastRow="0" w:firstColumn="1" w:lastColumn="0" w:oddVBand="0" w:evenVBand="0" w:oddHBand="0" w:evenHBand="0" w:firstRowFirstColumn="0" w:firstRowLastColumn="0" w:lastRowFirstColumn="0" w:lastRowLastColumn="0"/>
            <w:tcW w:w="1265" w:type="dxa"/>
            <w:vMerge/>
          </w:tcPr>
          <w:p w14:paraId="2A36E7CD" w14:textId="77777777" w:rsidR="00786A66" w:rsidRPr="006E3E8A" w:rsidRDefault="00786A66" w:rsidP="0082045B">
            <w:pPr>
              <w:keepNext/>
              <w:keepLines/>
              <w:spacing w:line="240" w:lineRule="auto"/>
              <w:ind w:firstLine="0"/>
              <w:jc w:val="center"/>
              <w:rPr>
                <w:rFonts w:asciiTheme="minorHAnsi" w:hAnsiTheme="minorHAnsi" w:cstheme="minorHAnsi"/>
                <w:b w:val="0"/>
                <w:color w:val="auto"/>
                <w:sz w:val="20"/>
                <w:szCs w:val="20"/>
              </w:rPr>
            </w:pPr>
          </w:p>
        </w:tc>
        <w:tc>
          <w:tcPr>
            <w:tcW w:w="1699" w:type="dxa"/>
          </w:tcPr>
          <w:p w14:paraId="17676DBB" w14:textId="77777777" w:rsidR="00786A66" w:rsidRPr="006E3E8A" w:rsidRDefault="00786A66" w:rsidP="0082045B">
            <w:pPr>
              <w:keepNext/>
              <w:keepLines/>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E3E8A">
              <w:rPr>
                <w:rFonts w:asciiTheme="minorHAnsi" w:hAnsiTheme="minorHAnsi" w:cstheme="minorHAnsi"/>
                <w:sz w:val="20"/>
                <w:szCs w:val="20"/>
              </w:rPr>
              <w:t>Facility Rental Value Analysis</w:t>
            </w:r>
          </w:p>
        </w:tc>
        <w:tc>
          <w:tcPr>
            <w:tcW w:w="1171" w:type="dxa"/>
          </w:tcPr>
          <w:p w14:paraId="75E952A2" w14:textId="77777777" w:rsidR="00786A66" w:rsidRPr="006E3E8A" w:rsidRDefault="00786A66" w:rsidP="0082045B">
            <w:pPr>
              <w:keepNext/>
              <w:keepLines/>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E3E8A">
              <w:rPr>
                <w:rFonts w:asciiTheme="minorHAnsi" w:hAnsiTheme="minorHAnsi" w:cstheme="minorHAnsi"/>
                <w:sz w:val="20"/>
                <w:szCs w:val="20"/>
              </w:rPr>
              <w:t>FY 2022</w:t>
            </w:r>
          </w:p>
        </w:tc>
        <w:tc>
          <w:tcPr>
            <w:tcW w:w="5215" w:type="dxa"/>
          </w:tcPr>
          <w:p w14:paraId="00080411" w14:textId="76F22C0E" w:rsidR="00786A66" w:rsidRPr="006E3E8A" w:rsidRDefault="00786A66" w:rsidP="0082045B">
            <w:pPr>
              <w:keepNext/>
              <w:keepLines/>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E3E8A">
              <w:rPr>
                <w:rFonts w:asciiTheme="minorHAnsi" w:hAnsiTheme="minorHAnsi" w:cstheme="minorHAnsi"/>
                <w:sz w:val="20"/>
                <w:szCs w:val="20"/>
              </w:rPr>
              <w:t>Initiate new rulemaking docket that incorporates updated rental data</w:t>
            </w:r>
          </w:p>
        </w:tc>
      </w:tr>
      <w:tr w:rsidR="006E3E8A" w:rsidRPr="006E3E8A" w14:paraId="6D3DA6E9" w14:textId="77777777" w:rsidTr="00A56E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65" w:type="dxa"/>
            <w:vMerge/>
          </w:tcPr>
          <w:p w14:paraId="1FC1C56C" w14:textId="77777777" w:rsidR="00786A66" w:rsidRPr="006E3E8A" w:rsidRDefault="00786A66" w:rsidP="0082045B">
            <w:pPr>
              <w:keepNext/>
              <w:keepLines/>
              <w:spacing w:line="240" w:lineRule="auto"/>
              <w:ind w:firstLine="0"/>
              <w:jc w:val="center"/>
              <w:rPr>
                <w:rFonts w:asciiTheme="minorHAnsi" w:hAnsiTheme="minorHAnsi" w:cstheme="minorHAnsi"/>
                <w:b w:val="0"/>
                <w:color w:val="auto"/>
                <w:sz w:val="20"/>
                <w:szCs w:val="20"/>
              </w:rPr>
            </w:pPr>
          </w:p>
        </w:tc>
        <w:tc>
          <w:tcPr>
            <w:tcW w:w="1699" w:type="dxa"/>
          </w:tcPr>
          <w:p w14:paraId="67BF82C5" w14:textId="77777777" w:rsidR="00786A66" w:rsidRPr="006E3E8A" w:rsidRDefault="00786A66" w:rsidP="0082045B">
            <w:pPr>
              <w:keepNext/>
              <w:keepLines/>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E3E8A">
              <w:rPr>
                <w:rFonts w:asciiTheme="minorHAnsi" w:hAnsiTheme="minorHAnsi" w:cstheme="minorHAnsi"/>
                <w:sz w:val="20"/>
                <w:szCs w:val="20"/>
              </w:rPr>
              <w:t>Capturing Additional Barcode Data During IOCS Measurements</w:t>
            </w:r>
          </w:p>
        </w:tc>
        <w:tc>
          <w:tcPr>
            <w:tcW w:w="1171" w:type="dxa"/>
          </w:tcPr>
          <w:p w14:paraId="3908A4CC" w14:textId="77777777" w:rsidR="00786A66" w:rsidRPr="006E3E8A" w:rsidRDefault="00786A66" w:rsidP="0082045B">
            <w:pPr>
              <w:keepNext/>
              <w:keepLines/>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E3E8A">
              <w:rPr>
                <w:rFonts w:asciiTheme="minorHAnsi" w:hAnsiTheme="minorHAnsi" w:cstheme="minorHAnsi"/>
                <w:sz w:val="20"/>
                <w:szCs w:val="20"/>
              </w:rPr>
              <w:t>FY 2022</w:t>
            </w:r>
          </w:p>
        </w:tc>
        <w:tc>
          <w:tcPr>
            <w:tcW w:w="5215" w:type="dxa"/>
          </w:tcPr>
          <w:p w14:paraId="1BA6E8CC" w14:textId="77777777" w:rsidR="00786A66" w:rsidRPr="006E3E8A" w:rsidRDefault="00786A66" w:rsidP="0082045B">
            <w:pPr>
              <w:keepNext/>
              <w:keepLines/>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E3E8A">
              <w:rPr>
                <w:rFonts w:asciiTheme="minorHAnsi" w:hAnsiTheme="minorHAnsi" w:cstheme="minorHAnsi"/>
                <w:sz w:val="20"/>
                <w:szCs w:val="20"/>
              </w:rPr>
              <w:t>Obtain barcode scan data on larger proportion of IOCS readings and investigate whether additional scans could be used to enhance existing data quality</w:t>
            </w:r>
          </w:p>
        </w:tc>
      </w:tr>
      <w:tr w:rsidR="006E3E8A" w:rsidRPr="006E3E8A" w14:paraId="0A90F125" w14:textId="77777777" w:rsidTr="00A56E46">
        <w:trPr>
          <w:jc w:val="center"/>
        </w:trPr>
        <w:tc>
          <w:tcPr>
            <w:cnfStyle w:val="001000000000" w:firstRow="0" w:lastRow="0" w:firstColumn="1" w:lastColumn="0" w:oddVBand="0" w:evenVBand="0" w:oddHBand="0" w:evenHBand="0" w:firstRowFirstColumn="0" w:firstRowLastColumn="0" w:lastRowFirstColumn="0" w:lastRowLastColumn="0"/>
            <w:tcW w:w="1265" w:type="dxa"/>
            <w:vMerge/>
          </w:tcPr>
          <w:p w14:paraId="71391973" w14:textId="77777777" w:rsidR="00786A66" w:rsidRPr="006E3E8A" w:rsidRDefault="00786A66" w:rsidP="0082045B">
            <w:pPr>
              <w:keepNext/>
              <w:keepLines/>
              <w:spacing w:line="240" w:lineRule="auto"/>
              <w:ind w:firstLine="0"/>
              <w:jc w:val="center"/>
              <w:rPr>
                <w:rFonts w:asciiTheme="minorHAnsi" w:hAnsiTheme="minorHAnsi" w:cstheme="minorHAnsi"/>
                <w:b w:val="0"/>
                <w:color w:val="auto"/>
                <w:sz w:val="20"/>
                <w:szCs w:val="20"/>
              </w:rPr>
            </w:pPr>
          </w:p>
        </w:tc>
        <w:tc>
          <w:tcPr>
            <w:tcW w:w="1699" w:type="dxa"/>
          </w:tcPr>
          <w:p w14:paraId="369244B1" w14:textId="77777777" w:rsidR="00786A66" w:rsidRPr="006E3E8A" w:rsidRDefault="00786A66" w:rsidP="0082045B">
            <w:pPr>
              <w:keepNext/>
              <w:keepLines/>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E3E8A">
              <w:rPr>
                <w:rFonts w:asciiTheme="minorHAnsi" w:hAnsiTheme="minorHAnsi" w:cstheme="minorHAnsi"/>
                <w:sz w:val="20"/>
                <w:szCs w:val="20"/>
              </w:rPr>
              <w:t>Rural Carrier Labor Costs</w:t>
            </w:r>
          </w:p>
        </w:tc>
        <w:tc>
          <w:tcPr>
            <w:tcW w:w="1171" w:type="dxa"/>
          </w:tcPr>
          <w:p w14:paraId="24621424" w14:textId="77777777" w:rsidR="00786A66" w:rsidRPr="006E3E8A" w:rsidRDefault="00786A66" w:rsidP="0082045B">
            <w:pPr>
              <w:keepNext/>
              <w:keepLines/>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E3E8A">
              <w:rPr>
                <w:rFonts w:asciiTheme="minorHAnsi" w:hAnsiTheme="minorHAnsi" w:cstheme="minorHAnsi"/>
                <w:sz w:val="20"/>
                <w:szCs w:val="20"/>
              </w:rPr>
              <w:t>FY 2023</w:t>
            </w:r>
          </w:p>
        </w:tc>
        <w:tc>
          <w:tcPr>
            <w:tcW w:w="5215" w:type="dxa"/>
          </w:tcPr>
          <w:p w14:paraId="61AB7AC0" w14:textId="77777777" w:rsidR="00786A66" w:rsidRPr="006E3E8A" w:rsidRDefault="00786A66" w:rsidP="0082045B">
            <w:pPr>
              <w:keepNext/>
              <w:keepLines/>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E3E8A">
              <w:rPr>
                <w:rFonts w:asciiTheme="minorHAnsi" w:hAnsiTheme="minorHAnsi" w:cstheme="minorHAnsi"/>
                <w:sz w:val="20"/>
                <w:szCs w:val="20"/>
              </w:rPr>
              <w:t>Review and incorporate the new evaluation standards in the model</w:t>
            </w:r>
          </w:p>
        </w:tc>
      </w:tr>
      <w:tr w:rsidR="006E3E8A" w:rsidRPr="006E3E8A" w14:paraId="5E795A40" w14:textId="77777777" w:rsidTr="00A56E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65" w:type="dxa"/>
            <w:vMerge w:val="restart"/>
          </w:tcPr>
          <w:p w14:paraId="31BA4EDF" w14:textId="77777777" w:rsidR="006A77DC" w:rsidRPr="006E3E8A" w:rsidRDefault="006A77DC" w:rsidP="0082045B">
            <w:pPr>
              <w:keepNext/>
              <w:keepLines/>
              <w:spacing w:line="240" w:lineRule="auto"/>
              <w:ind w:firstLine="0"/>
              <w:jc w:val="center"/>
              <w:rPr>
                <w:rFonts w:asciiTheme="minorHAnsi" w:hAnsiTheme="minorHAnsi" w:cstheme="minorHAnsi"/>
                <w:b w:val="0"/>
                <w:color w:val="auto"/>
                <w:sz w:val="20"/>
                <w:szCs w:val="20"/>
              </w:rPr>
            </w:pPr>
          </w:p>
          <w:p w14:paraId="010750C9" w14:textId="77777777" w:rsidR="006A77DC" w:rsidRPr="006E3E8A" w:rsidRDefault="006A77DC" w:rsidP="0082045B">
            <w:pPr>
              <w:keepNext/>
              <w:keepLines/>
              <w:spacing w:line="240" w:lineRule="auto"/>
              <w:ind w:firstLine="0"/>
              <w:jc w:val="center"/>
              <w:rPr>
                <w:rFonts w:asciiTheme="minorHAnsi" w:hAnsiTheme="minorHAnsi" w:cstheme="minorHAnsi"/>
                <w:b w:val="0"/>
                <w:color w:val="auto"/>
                <w:sz w:val="20"/>
                <w:szCs w:val="20"/>
              </w:rPr>
            </w:pPr>
          </w:p>
          <w:p w14:paraId="08FED7E3" w14:textId="77777777" w:rsidR="006A77DC" w:rsidRPr="006E3E8A" w:rsidRDefault="006A77DC" w:rsidP="0082045B">
            <w:pPr>
              <w:keepNext/>
              <w:keepLines/>
              <w:spacing w:line="240" w:lineRule="auto"/>
              <w:ind w:firstLine="0"/>
              <w:jc w:val="center"/>
              <w:rPr>
                <w:rFonts w:asciiTheme="minorHAnsi" w:hAnsiTheme="minorHAnsi" w:cstheme="minorHAnsi"/>
                <w:b w:val="0"/>
                <w:color w:val="auto"/>
                <w:sz w:val="20"/>
                <w:szCs w:val="20"/>
              </w:rPr>
            </w:pPr>
          </w:p>
          <w:p w14:paraId="236018B9" w14:textId="77777777" w:rsidR="006A77DC" w:rsidRPr="006E3E8A" w:rsidRDefault="006A77DC" w:rsidP="0082045B">
            <w:pPr>
              <w:keepNext/>
              <w:keepLines/>
              <w:spacing w:line="240" w:lineRule="auto"/>
              <w:ind w:firstLine="0"/>
              <w:jc w:val="center"/>
              <w:rPr>
                <w:rFonts w:asciiTheme="minorHAnsi" w:hAnsiTheme="minorHAnsi" w:cstheme="minorHAnsi"/>
                <w:b w:val="0"/>
                <w:color w:val="auto"/>
                <w:sz w:val="20"/>
                <w:szCs w:val="20"/>
              </w:rPr>
            </w:pPr>
          </w:p>
          <w:p w14:paraId="6BFFB59F" w14:textId="77777777" w:rsidR="006A77DC" w:rsidRPr="006E3E8A" w:rsidRDefault="006A77DC" w:rsidP="0082045B">
            <w:pPr>
              <w:keepNext/>
              <w:keepLines/>
              <w:spacing w:line="240" w:lineRule="auto"/>
              <w:ind w:firstLine="0"/>
              <w:jc w:val="center"/>
              <w:rPr>
                <w:rFonts w:asciiTheme="minorHAnsi" w:hAnsiTheme="minorHAnsi" w:cstheme="minorHAnsi"/>
                <w:b w:val="0"/>
                <w:color w:val="auto"/>
                <w:sz w:val="20"/>
                <w:szCs w:val="20"/>
              </w:rPr>
            </w:pPr>
          </w:p>
          <w:p w14:paraId="02005335" w14:textId="77777777" w:rsidR="006A77DC" w:rsidRPr="006E3E8A" w:rsidRDefault="006A77DC" w:rsidP="0082045B">
            <w:pPr>
              <w:keepNext/>
              <w:keepLines/>
              <w:spacing w:line="240" w:lineRule="auto"/>
              <w:ind w:firstLine="0"/>
              <w:jc w:val="center"/>
              <w:rPr>
                <w:rFonts w:asciiTheme="minorHAnsi" w:hAnsiTheme="minorHAnsi" w:cstheme="minorHAnsi"/>
                <w:b w:val="0"/>
                <w:color w:val="auto"/>
                <w:sz w:val="20"/>
                <w:szCs w:val="20"/>
              </w:rPr>
            </w:pPr>
          </w:p>
          <w:p w14:paraId="757FC04D" w14:textId="6DF242FA" w:rsidR="008040EE" w:rsidRPr="006E3E8A" w:rsidRDefault="008040EE" w:rsidP="0082045B">
            <w:pPr>
              <w:keepNext/>
              <w:keepLines/>
              <w:spacing w:line="240" w:lineRule="auto"/>
              <w:ind w:firstLine="0"/>
              <w:jc w:val="center"/>
              <w:rPr>
                <w:rFonts w:asciiTheme="minorHAnsi" w:hAnsiTheme="minorHAnsi" w:cstheme="minorHAnsi"/>
                <w:b w:val="0"/>
                <w:color w:val="auto"/>
                <w:sz w:val="20"/>
                <w:szCs w:val="20"/>
              </w:rPr>
            </w:pPr>
            <w:r w:rsidRPr="006E3E8A">
              <w:rPr>
                <w:rFonts w:asciiTheme="minorHAnsi" w:hAnsiTheme="minorHAnsi" w:cstheme="minorHAnsi"/>
                <w:color w:val="auto"/>
                <w:sz w:val="20"/>
                <w:szCs w:val="20"/>
              </w:rPr>
              <w:t>Medium-Term</w:t>
            </w:r>
          </w:p>
        </w:tc>
        <w:tc>
          <w:tcPr>
            <w:tcW w:w="1699" w:type="dxa"/>
          </w:tcPr>
          <w:p w14:paraId="41013C17" w14:textId="1D980EE2" w:rsidR="008040EE" w:rsidRPr="006E3E8A" w:rsidRDefault="008040EE" w:rsidP="0082045B">
            <w:pPr>
              <w:keepNext/>
              <w:keepLines/>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E3E8A">
              <w:rPr>
                <w:rFonts w:asciiTheme="minorHAnsi" w:hAnsiTheme="minorHAnsi" w:cstheme="minorHAnsi"/>
                <w:sz w:val="20"/>
                <w:szCs w:val="20"/>
              </w:rPr>
              <w:t>TRACS Peak Season Sampling of Purchased Highway Transportation Costs</w:t>
            </w:r>
            <w:r w:rsidR="003B3A9B" w:rsidRPr="006E3E8A">
              <w:rPr>
                <w:rFonts w:asciiTheme="minorHAnsi" w:hAnsiTheme="minorHAnsi" w:cstheme="minorHAnsi"/>
                <w:sz w:val="20"/>
                <w:szCs w:val="20"/>
              </w:rPr>
              <w:t>*</w:t>
            </w:r>
            <w:r w:rsidR="00AE503D" w:rsidRPr="006E3E8A">
              <w:rPr>
                <w:rFonts w:asciiTheme="minorHAnsi" w:hAnsiTheme="minorHAnsi" w:cstheme="minorHAnsi"/>
                <w:sz w:val="20"/>
                <w:szCs w:val="20"/>
              </w:rPr>
              <w:t>*</w:t>
            </w:r>
          </w:p>
        </w:tc>
        <w:tc>
          <w:tcPr>
            <w:tcW w:w="1171" w:type="dxa"/>
          </w:tcPr>
          <w:p w14:paraId="676B0A68" w14:textId="77777777" w:rsidR="008040EE" w:rsidRPr="006E3E8A" w:rsidRDefault="008040EE" w:rsidP="0082045B">
            <w:pPr>
              <w:keepNext/>
              <w:keepLines/>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E3E8A">
              <w:rPr>
                <w:rFonts w:asciiTheme="minorHAnsi" w:hAnsiTheme="minorHAnsi" w:cstheme="minorHAnsi"/>
                <w:sz w:val="20"/>
                <w:szCs w:val="20"/>
              </w:rPr>
              <w:t>FY 2023</w:t>
            </w:r>
          </w:p>
        </w:tc>
        <w:tc>
          <w:tcPr>
            <w:tcW w:w="5215" w:type="dxa"/>
          </w:tcPr>
          <w:p w14:paraId="107B1FA3" w14:textId="77777777" w:rsidR="008040EE" w:rsidRPr="006E3E8A" w:rsidRDefault="008040EE" w:rsidP="0082045B">
            <w:pPr>
              <w:keepNext/>
              <w:keepLines/>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E3E8A">
              <w:rPr>
                <w:rFonts w:asciiTheme="minorHAnsi" w:hAnsiTheme="minorHAnsi" w:cstheme="minorHAnsi"/>
                <w:sz w:val="20"/>
                <w:szCs w:val="20"/>
              </w:rPr>
              <w:t>Process and evaluate results of peak season trips sample data to determine whether distribution keys should be replaced</w:t>
            </w:r>
          </w:p>
        </w:tc>
      </w:tr>
      <w:tr w:rsidR="006E3E8A" w:rsidRPr="006E3E8A" w14:paraId="7832B78B" w14:textId="77777777" w:rsidTr="00A56E46">
        <w:trPr>
          <w:jc w:val="center"/>
        </w:trPr>
        <w:tc>
          <w:tcPr>
            <w:cnfStyle w:val="001000000000" w:firstRow="0" w:lastRow="0" w:firstColumn="1" w:lastColumn="0" w:oddVBand="0" w:evenVBand="0" w:oddHBand="0" w:evenHBand="0" w:firstRowFirstColumn="0" w:firstRowLastColumn="0" w:lastRowFirstColumn="0" w:lastRowLastColumn="0"/>
            <w:tcW w:w="1265" w:type="dxa"/>
            <w:vMerge/>
          </w:tcPr>
          <w:p w14:paraId="70881F44" w14:textId="77777777" w:rsidR="008040EE" w:rsidRPr="006E3E8A" w:rsidRDefault="008040EE" w:rsidP="0082045B">
            <w:pPr>
              <w:keepNext/>
              <w:keepLines/>
              <w:spacing w:line="240" w:lineRule="auto"/>
              <w:ind w:firstLine="0"/>
              <w:jc w:val="center"/>
              <w:rPr>
                <w:rFonts w:asciiTheme="minorHAnsi" w:hAnsiTheme="minorHAnsi" w:cstheme="minorHAnsi"/>
                <w:b w:val="0"/>
                <w:color w:val="auto"/>
                <w:sz w:val="20"/>
                <w:szCs w:val="20"/>
              </w:rPr>
            </w:pPr>
          </w:p>
        </w:tc>
        <w:tc>
          <w:tcPr>
            <w:tcW w:w="1699" w:type="dxa"/>
          </w:tcPr>
          <w:p w14:paraId="312461A0" w14:textId="77777777" w:rsidR="008040EE" w:rsidRPr="006E3E8A" w:rsidRDefault="003A0426" w:rsidP="0082045B">
            <w:pPr>
              <w:keepNext/>
              <w:keepLines/>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E3E8A">
              <w:rPr>
                <w:rFonts w:asciiTheme="minorHAnsi" w:hAnsiTheme="minorHAnsi" w:cstheme="minorHAnsi"/>
                <w:sz w:val="20"/>
                <w:szCs w:val="20"/>
              </w:rPr>
              <w:t>Delivery Vehicle Costs</w:t>
            </w:r>
          </w:p>
        </w:tc>
        <w:tc>
          <w:tcPr>
            <w:tcW w:w="1171" w:type="dxa"/>
          </w:tcPr>
          <w:p w14:paraId="5BC1FC95" w14:textId="77777777" w:rsidR="008040EE" w:rsidRPr="006E3E8A" w:rsidRDefault="003A0426" w:rsidP="0082045B">
            <w:pPr>
              <w:keepNext/>
              <w:keepLines/>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E3E8A">
              <w:rPr>
                <w:rFonts w:asciiTheme="minorHAnsi" w:hAnsiTheme="minorHAnsi" w:cstheme="minorHAnsi"/>
                <w:sz w:val="20"/>
                <w:szCs w:val="20"/>
              </w:rPr>
              <w:t>FY 2023</w:t>
            </w:r>
          </w:p>
        </w:tc>
        <w:tc>
          <w:tcPr>
            <w:tcW w:w="5215" w:type="dxa"/>
          </w:tcPr>
          <w:p w14:paraId="3C03C894" w14:textId="77777777" w:rsidR="008040EE" w:rsidRPr="006E3E8A" w:rsidRDefault="003A0426" w:rsidP="0082045B">
            <w:pPr>
              <w:keepNext/>
              <w:keepLines/>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E3E8A">
              <w:rPr>
                <w:rFonts w:asciiTheme="minorHAnsi" w:hAnsiTheme="minorHAnsi" w:cstheme="minorHAnsi"/>
                <w:sz w:val="20"/>
                <w:szCs w:val="20"/>
              </w:rPr>
              <w:t>Review and consider alternatives to the established treatment of vehicle depreciation and maintenance costs</w:t>
            </w:r>
          </w:p>
        </w:tc>
      </w:tr>
      <w:tr w:rsidR="006E3E8A" w:rsidRPr="006E3E8A" w14:paraId="0DF00F96" w14:textId="77777777" w:rsidTr="00A56E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65" w:type="dxa"/>
            <w:vMerge/>
          </w:tcPr>
          <w:p w14:paraId="4CB85145" w14:textId="77777777" w:rsidR="008040EE" w:rsidRPr="006E3E8A" w:rsidRDefault="008040EE" w:rsidP="0082045B">
            <w:pPr>
              <w:keepNext/>
              <w:keepLines/>
              <w:spacing w:line="240" w:lineRule="auto"/>
              <w:ind w:firstLine="0"/>
              <w:jc w:val="center"/>
              <w:rPr>
                <w:rFonts w:asciiTheme="minorHAnsi" w:hAnsiTheme="minorHAnsi" w:cstheme="minorHAnsi"/>
                <w:b w:val="0"/>
                <w:color w:val="auto"/>
                <w:sz w:val="20"/>
                <w:szCs w:val="20"/>
              </w:rPr>
            </w:pPr>
          </w:p>
        </w:tc>
        <w:tc>
          <w:tcPr>
            <w:tcW w:w="1699" w:type="dxa"/>
          </w:tcPr>
          <w:p w14:paraId="5612B4FB" w14:textId="77777777" w:rsidR="008040EE" w:rsidRPr="006E3E8A" w:rsidRDefault="003A0426" w:rsidP="0082045B">
            <w:pPr>
              <w:keepNext/>
              <w:keepLines/>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E3E8A">
              <w:rPr>
                <w:rFonts w:asciiTheme="minorHAnsi" w:hAnsiTheme="minorHAnsi" w:cstheme="minorHAnsi"/>
                <w:sz w:val="20"/>
                <w:szCs w:val="20"/>
              </w:rPr>
              <w:t>Headquarters Personnel Costs</w:t>
            </w:r>
          </w:p>
        </w:tc>
        <w:tc>
          <w:tcPr>
            <w:tcW w:w="1171" w:type="dxa"/>
          </w:tcPr>
          <w:p w14:paraId="26B5F71F" w14:textId="77777777" w:rsidR="008040EE" w:rsidRPr="006E3E8A" w:rsidRDefault="003A0426" w:rsidP="0082045B">
            <w:pPr>
              <w:keepNext/>
              <w:keepLines/>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E3E8A">
              <w:rPr>
                <w:rFonts w:asciiTheme="minorHAnsi" w:hAnsiTheme="minorHAnsi" w:cstheme="minorHAnsi"/>
                <w:sz w:val="20"/>
                <w:szCs w:val="20"/>
              </w:rPr>
              <w:t>FY 2023</w:t>
            </w:r>
          </w:p>
        </w:tc>
        <w:tc>
          <w:tcPr>
            <w:tcW w:w="5215" w:type="dxa"/>
          </w:tcPr>
          <w:p w14:paraId="2DD6365B" w14:textId="77777777" w:rsidR="008040EE" w:rsidRPr="006E3E8A" w:rsidRDefault="003A0426" w:rsidP="0082045B">
            <w:pPr>
              <w:keepNext/>
              <w:keepLines/>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E3E8A">
              <w:rPr>
                <w:rFonts w:asciiTheme="minorHAnsi" w:hAnsiTheme="minorHAnsi" w:cstheme="minorHAnsi"/>
                <w:sz w:val="20"/>
                <w:szCs w:val="20"/>
              </w:rPr>
              <w:t>Investigate administrative headquarters' expenses and whether alternative criteria could be considered to identify competitive group-specific costs</w:t>
            </w:r>
          </w:p>
        </w:tc>
      </w:tr>
      <w:tr w:rsidR="006E3E8A" w:rsidRPr="006E3E8A" w14:paraId="12684D11" w14:textId="77777777" w:rsidTr="00A56E46">
        <w:trPr>
          <w:jc w:val="center"/>
        </w:trPr>
        <w:tc>
          <w:tcPr>
            <w:cnfStyle w:val="001000000000" w:firstRow="0" w:lastRow="0" w:firstColumn="1" w:lastColumn="0" w:oddVBand="0" w:evenVBand="0" w:oddHBand="0" w:evenHBand="0" w:firstRowFirstColumn="0" w:firstRowLastColumn="0" w:lastRowFirstColumn="0" w:lastRowLastColumn="0"/>
            <w:tcW w:w="1265" w:type="dxa"/>
            <w:vMerge/>
          </w:tcPr>
          <w:p w14:paraId="4D92AEC1" w14:textId="77777777" w:rsidR="008040EE" w:rsidRPr="006E3E8A" w:rsidRDefault="008040EE" w:rsidP="0082045B">
            <w:pPr>
              <w:keepNext/>
              <w:keepLines/>
              <w:spacing w:line="240" w:lineRule="auto"/>
              <w:ind w:firstLine="0"/>
              <w:jc w:val="center"/>
              <w:rPr>
                <w:rFonts w:asciiTheme="minorHAnsi" w:hAnsiTheme="minorHAnsi" w:cstheme="minorHAnsi"/>
                <w:b w:val="0"/>
                <w:color w:val="auto"/>
                <w:sz w:val="20"/>
                <w:szCs w:val="20"/>
              </w:rPr>
            </w:pPr>
          </w:p>
        </w:tc>
        <w:tc>
          <w:tcPr>
            <w:tcW w:w="1699" w:type="dxa"/>
          </w:tcPr>
          <w:p w14:paraId="0F4703F9" w14:textId="77777777" w:rsidR="008040EE" w:rsidRPr="006E3E8A" w:rsidRDefault="003A0426" w:rsidP="0082045B">
            <w:pPr>
              <w:keepNext/>
              <w:keepLines/>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E3E8A">
              <w:rPr>
                <w:rFonts w:asciiTheme="minorHAnsi" w:hAnsiTheme="minorHAnsi" w:cstheme="minorHAnsi"/>
                <w:sz w:val="20"/>
                <w:szCs w:val="20"/>
              </w:rPr>
              <w:t>Supervisor and Technician Costs</w:t>
            </w:r>
          </w:p>
        </w:tc>
        <w:tc>
          <w:tcPr>
            <w:tcW w:w="1171" w:type="dxa"/>
          </w:tcPr>
          <w:p w14:paraId="3270237A" w14:textId="77777777" w:rsidR="008040EE" w:rsidRPr="006E3E8A" w:rsidRDefault="002C6783" w:rsidP="0082045B">
            <w:pPr>
              <w:keepNext/>
              <w:keepLines/>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E3E8A">
              <w:rPr>
                <w:rFonts w:asciiTheme="minorHAnsi" w:hAnsiTheme="minorHAnsi" w:cstheme="minorHAnsi"/>
                <w:sz w:val="20"/>
                <w:szCs w:val="20"/>
              </w:rPr>
              <w:t>FY 2023</w:t>
            </w:r>
          </w:p>
        </w:tc>
        <w:tc>
          <w:tcPr>
            <w:tcW w:w="5215" w:type="dxa"/>
          </w:tcPr>
          <w:p w14:paraId="130DC5C2" w14:textId="77777777" w:rsidR="008040EE" w:rsidRPr="006E3E8A" w:rsidRDefault="002C6783" w:rsidP="0082045B">
            <w:pPr>
              <w:keepNext/>
              <w:keepLines/>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E3E8A">
              <w:rPr>
                <w:rFonts w:asciiTheme="minorHAnsi" w:hAnsiTheme="minorHAnsi" w:cstheme="minorHAnsi"/>
                <w:sz w:val="20"/>
                <w:szCs w:val="20"/>
              </w:rPr>
              <w:t>Explore the use of clock rings to improve the current treatment of supervisor costs</w:t>
            </w:r>
          </w:p>
        </w:tc>
      </w:tr>
      <w:tr w:rsidR="006E3E8A" w:rsidRPr="006E3E8A" w14:paraId="40ED253F" w14:textId="77777777" w:rsidTr="00A56E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65" w:type="dxa"/>
            <w:vMerge w:val="restart"/>
          </w:tcPr>
          <w:p w14:paraId="0898A4D0" w14:textId="77777777" w:rsidR="006A77DC" w:rsidRPr="006E3E8A" w:rsidRDefault="006A77DC" w:rsidP="0082045B">
            <w:pPr>
              <w:keepNext/>
              <w:keepLines/>
              <w:spacing w:line="240" w:lineRule="auto"/>
              <w:ind w:firstLine="0"/>
              <w:jc w:val="center"/>
              <w:rPr>
                <w:rFonts w:asciiTheme="minorHAnsi" w:hAnsiTheme="minorHAnsi" w:cstheme="minorHAnsi"/>
                <w:b w:val="0"/>
                <w:color w:val="auto"/>
                <w:sz w:val="20"/>
                <w:szCs w:val="20"/>
              </w:rPr>
            </w:pPr>
          </w:p>
          <w:p w14:paraId="4119DA75" w14:textId="77777777" w:rsidR="006A77DC" w:rsidRPr="006E3E8A" w:rsidRDefault="006A77DC" w:rsidP="0082045B">
            <w:pPr>
              <w:keepNext/>
              <w:keepLines/>
              <w:spacing w:line="240" w:lineRule="auto"/>
              <w:ind w:firstLine="0"/>
              <w:jc w:val="center"/>
              <w:rPr>
                <w:rFonts w:asciiTheme="minorHAnsi" w:hAnsiTheme="minorHAnsi" w:cstheme="minorHAnsi"/>
                <w:b w:val="0"/>
                <w:color w:val="auto"/>
                <w:sz w:val="20"/>
                <w:szCs w:val="20"/>
              </w:rPr>
            </w:pPr>
          </w:p>
          <w:p w14:paraId="3B4AFEC4" w14:textId="77777777" w:rsidR="006A77DC" w:rsidRPr="006E3E8A" w:rsidRDefault="006A77DC" w:rsidP="0082045B">
            <w:pPr>
              <w:keepNext/>
              <w:keepLines/>
              <w:spacing w:line="240" w:lineRule="auto"/>
              <w:ind w:firstLine="0"/>
              <w:jc w:val="center"/>
              <w:rPr>
                <w:rFonts w:asciiTheme="minorHAnsi" w:hAnsiTheme="minorHAnsi" w:cstheme="minorHAnsi"/>
                <w:b w:val="0"/>
                <w:color w:val="auto"/>
                <w:sz w:val="20"/>
                <w:szCs w:val="20"/>
              </w:rPr>
            </w:pPr>
          </w:p>
          <w:p w14:paraId="35A48E95" w14:textId="77777777" w:rsidR="006A77DC" w:rsidRPr="006E3E8A" w:rsidRDefault="006A77DC" w:rsidP="0082045B">
            <w:pPr>
              <w:keepNext/>
              <w:keepLines/>
              <w:spacing w:line="240" w:lineRule="auto"/>
              <w:ind w:firstLine="0"/>
              <w:jc w:val="center"/>
              <w:rPr>
                <w:rFonts w:asciiTheme="minorHAnsi" w:hAnsiTheme="minorHAnsi" w:cstheme="minorHAnsi"/>
                <w:b w:val="0"/>
                <w:color w:val="auto"/>
                <w:sz w:val="20"/>
                <w:szCs w:val="20"/>
              </w:rPr>
            </w:pPr>
          </w:p>
          <w:p w14:paraId="46613162" w14:textId="78B43D67" w:rsidR="008040EE" w:rsidRPr="006E3E8A" w:rsidRDefault="008040EE" w:rsidP="0082045B">
            <w:pPr>
              <w:keepNext/>
              <w:keepLines/>
              <w:spacing w:line="240" w:lineRule="auto"/>
              <w:ind w:firstLine="0"/>
              <w:jc w:val="center"/>
              <w:rPr>
                <w:rFonts w:asciiTheme="minorHAnsi" w:hAnsiTheme="minorHAnsi" w:cstheme="minorHAnsi"/>
                <w:b w:val="0"/>
                <w:color w:val="auto"/>
                <w:sz w:val="20"/>
                <w:szCs w:val="20"/>
              </w:rPr>
            </w:pPr>
            <w:r w:rsidRPr="006E3E8A">
              <w:rPr>
                <w:rFonts w:asciiTheme="minorHAnsi" w:hAnsiTheme="minorHAnsi" w:cstheme="minorHAnsi"/>
                <w:color w:val="auto"/>
                <w:sz w:val="20"/>
                <w:szCs w:val="20"/>
              </w:rPr>
              <w:t>Long-Term</w:t>
            </w:r>
          </w:p>
        </w:tc>
        <w:tc>
          <w:tcPr>
            <w:tcW w:w="1699" w:type="dxa"/>
          </w:tcPr>
          <w:p w14:paraId="19B05CE3" w14:textId="77777777" w:rsidR="008040EE" w:rsidRPr="006E3E8A" w:rsidRDefault="00051900" w:rsidP="0082045B">
            <w:pPr>
              <w:keepNext/>
              <w:keepLines/>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E3E8A">
              <w:rPr>
                <w:rFonts w:asciiTheme="minorHAnsi" w:hAnsiTheme="minorHAnsi" w:cstheme="minorHAnsi"/>
                <w:sz w:val="20"/>
                <w:szCs w:val="20"/>
              </w:rPr>
              <w:t>Vehicle Service Drivers Costs</w:t>
            </w:r>
          </w:p>
        </w:tc>
        <w:tc>
          <w:tcPr>
            <w:tcW w:w="1171" w:type="dxa"/>
          </w:tcPr>
          <w:p w14:paraId="1DE8339A" w14:textId="77777777" w:rsidR="008040EE" w:rsidRPr="006E3E8A" w:rsidRDefault="00051900" w:rsidP="0082045B">
            <w:pPr>
              <w:keepNext/>
              <w:keepLines/>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E3E8A">
              <w:rPr>
                <w:rFonts w:asciiTheme="minorHAnsi" w:hAnsiTheme="minorHAnsi" w:cstheme="minorHAnsi"/>
                <w:sz w:val="20"/>
                <w:szCs w:val="20"/>
              </w:rPr>
              <w:t>FY 2024</w:t>
            </w:r>
          </w:p>
        </w:tc>
        <w:tc>
          <w:tcPr>
            <w:tcW w:w="5215" w:type="dxa"/>
          </w:tcPr>
          <w:p w14:paraId="70106B31" w14:textId="77777777" w:rsidR="008040EE" w:rsidRPr="006E3E8A" w:rsidRDefault="00051900" w:rsidP="0082045B">
            <w:pPr>
              <w:keepNext/>
              <w:keepLines/>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E3E8A">
              <w:rPr>
                <w:rFonts w:asciiTheme="minorHAnsi" w:hAnsiTheme="minorHAnsi" w:cstheme="minorHAnsi"/>
                <w:sz w:val="20"/>
                <w:szCs w:val="20"/>
              </w:rPr>
              <w:t>Investigate whether a reliable and accurate database exists to update current variabilities</w:t>
            </w:r>
          </w:p>
        </w:tc>
      </w:tr>
      <w:tr w:rsidR="006E3E8A" w:rsidRPr="006E3E8A" w14:paraId="57A05AD7" w14:textId="77777777" w:rsidTr="00A56E46">
        <w:trPr>
          <w:jc w:val="center"/>
        </w:trPr>
        <w:tc>
          <w:tcPr>
            <w:cnfStyle w:val="001000000000" w:firstRow="0" w:lastRow="0" w:firstColumn="1" w:lastColumn="0" w:oddVBand="0" w:evenVBand="0" w:oddHBand="0" w:evenHBand="0" w:firstRowFirstColumn="0" w:firstRowLastColumn="0" w:lastRowFirstColumn="0" w:lastRowLastColumn="0"/>
            <w:tcW w:w="1265" w:type="dxa"/>
            <w:vMerge/>
          </w:tcPr>
          <w:p w14:paraId="64BAB1D5" w14:textId="77777777" w:rsidR="008040EE" w:rsidRPr="006E3E8A" w:rsidRDefault="008040EE" w:rsidP="0082045B">
            <w:pPr>
              <w:keepNext/>
              <w:keepLines/>
              <w:spacing w:line="240" w:lineRule="auto"/>
              <w:ind w:firstLine="0"/>
              <w:jc w:val="center"/>
              <w:rPr>
                <w:rFonts w:asciiTheme="minorHAnsi" w:hAnsiTheme="minorHAnsi" w:cstheme="minorHAnsi"/>
                <w:b w:val="0"/>
                <w:color w:val="auto"/>
                <w:sz w:val="20"/>
                <w:szCs w:val="20"/>
              </w:rPr>
            </w:pPr>
          </w:p>
        </w:tc>
        <w:tc>
          <w:tcPr>
            <w:tcW w:w="1699" w:type="dxa"/>
          </w:tcPr>
          <w:p w14:paraId="69453150" w14:textId="77777777" w:rsidR="008040EE" w:rsidRPr="006E3E8A" w:rsidRDefault="00051900" w:rsidP="0082045B">
            <w:pPr>
              <w:keepNext/>
              <w:keepLines/>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E3E8A">
              <w:rPr>
                <w:rFonts w:asciiTheme="minorHAnsi" w:hAnsiTheme="minorHAnsi" w:cstheme="minorHAnsi"/>
                <w:sz w:val="20"/>
                <w:szCs w:val="20"/>
              </w:rPr>
              <w:t>Letter, Flat, and Parcel Mail Processing Cost Models</w:t>
            </w:r>
          </w:p>
        </w:tc>
        <w:tc>
          <w:tcPr>
            <w:tcW w:w="1171" w:type="dxa"/>
          </w:tcPr>
          <w:p w14:paraId="1E81AA59" w14:textId="77777777" w:rsidR="008040EE" w:rsidRPr="006E3E8A" w:rsidRDefault="00051900" w:rsidP="0082045B">
            <w:pPr>
              <w:keepNext/>
              <w:keepLines/>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E3E8A">
              <w:rPr>
                <w:rFonts w:asciiTheme="minorHAnsi" w:hAnsiTheme="minorHAnsi" w:cstheme="minorHAnsi"/>
                <w:sz w:val="20"/>
                <w:szCs w:val="20"/>
              </w:rPr>
              <w:t>FY 2024</w:t>
            </w:r>
          </w:p>
        </w:tc>
        <w:tc>
          <w:tcPr>
            <w:tcW w:w="5215" w:type="dxa"/>
          </w:tcPr>
          <w:p w14:paraId="6F70DB77" w14:textId="77777777" w:rsidR="008040EE" w:rsidRPr="006E3E8A" w:rsidRDefault="00051900" w:rsidP="0082045B">
            <w:pPr>
              <w:keepNext/>
              <w:keepLines/>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E3E8A">
              <w:rPr>
                <w:rFonts w:asciiTheme="minorHAnsi" w:hAnsiTheme="minorHAnsi" w:cstheme="minorHAnsi"/>
                <w:sz w:val="20"/>
                <w:szCs w:val="20"/>
              </w:rPr>
              <w:t>Explore the use of IMb data as an alternative to some existing mail processing cost model input</w:t>
            </w:r>
          </w:p>
        </w:tc>
      </w:tr>
      <w:tr w:rsidR="006E3E8A" w:rsidRPr="006E3E8A" w14:paraId="0C8BD71D" w14:textId="77777777" w:rsidTr="00A56E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65" w:type="dxa"/>
            <w:vMerge/>
          </w:tcPr>
          <w:p w14:paraId="3DC9D8A0" w14:textId="77777777" w:rsidR="008040EE" w:rsidRPr="006E3E8A" w:rsidRDefault="008040EE" w:rsidP="0082045B">
            <w:pPr>
              <w:keepNext/>
              <w:keepLines/>
              <w:spacing w:line="240" w:lineRule="auto"/>
              <w:ind w:firstLine="0"/>
              <w:jc w:val="center"/>
              <w:rPr>
                <w:rFonts w:asciiTheme="minorHAnsi" w:hAnsiTheme="minorHAnsi" w:cstheme="minorHAnsi"/>
                <w:b w:val="0"/>
                <w:color w:val="auto"/>
                <w:sz w:val="20"/>
                <w:szCs w:val="20"/>
              </w:rPr>
            </w:pPr>
          </w:p>
        </w:tc>
        <w:tc>
          <w:tcPr>
            <w:tcW w:w="1699" w:type="dxa"/>
          </w:tcPr>
          <w:p w14:paraId="038848E5" w14:textId="77777777" w:rsidR="008040EE" w:rsidRPr="006E3E8A" w:rsidRDefault="00051900" w:rsidP="0082045B">
            <w:pPr>
              <w:keepNext/>
              <w:keepLines/>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E3E8A">
              <w:rPr>
                <w:rFonts w:asciiTheme="minorHAnsi" w:hAnsiTheme="minorHAnsi" w:cstheme="minorHAnsi"/>
                <w:sz w:val="20"/>
                <w:szCs w:val="20"/>
              </w:rPr>
              <w:t>Window Service Costs</w:t>
            </w:r>
          </w:p>
        </w:tc>
        <w:tc>
          <w:tcPr>
            <w:tcW w:w="1171" w:type="dxa"/>
          </w:tcPr>
          <w:p w14:paraId="1E6139B5" w14:textId="77777777" w:rsidR="008040EE" w:rsidRPr="006E3E8A" w:rsidRDefault="00051900" w:rsidP="0082045B">
            <w:pPr>
              <w:keepNext/>
              <w:keepLines/>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E3E8A">
              <w:rPr>
                <w:rFonts w:asciiTheme="minorHAnsi" w:hAnsiTheme="minorHAnsi" w:cstheme="minorHAnsi"/>
                <w:sz w:val="20"/>
                <w:szCs w:val="20"/>
              </w:rPr>
              <w:t>FY 2025</w:t>
            </w:r>
          </w:p>
        </w:tc>
        <w:tc>
          <w:tcPr>
            <w:tcW w:w="5215" w:type="dxa"/>
          </w:tcPr>
          <w:p w14:paraId="12EF974B" w14:textId="77777777" w:rsidR="008040EE" w:rsidRPr="006E3E8A" w:rsidRDefault="00051900" w:rsidP="0082045B">
            <w:pPr>
              <w:keepNext/>
              <w:keepLines/>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E3E8A">
              <w:rPr>
                <w:rFonts w:asciiTheme="minorHAnsi" w:hAnsiTheme="minorHAnsi" w:cstheme="minorHAnsi"/>
                <w:sz w:val="20"/>
                <w:szCs w:val="20"/>
              </w:rPr>
              <w:t>Explore the use of a top-down approach and investigate refinements to current methodology</w:t>
            </w:r>
          </w:p>
        </w:tc>
      </w:tr>
    </w:tbl>
    <w:p w14:paraId="4EA1F6C8" w14:textId="54350746" w:rsidR="00DD4083" w:rsidRPr="006E3E8A" w:rsidRDefault="00DD4083" w:rsidP="000E2102">
      <w:pPr>
        <w:keepNext/>
        <w:keepLines/>
        <w:spacing w:before="120" w:line="240" w:lineRule="auto"/>
        <w:ind w:firstLine="0"/>
        <w:rPr>
          <w:rFonts w:asciiTheme="minorHAnsi" w:hAnsiTheme="minorHAnsi" w:cstheme="minorHAnsi"/>
          <w:sz w:val="16"/>
          <w:szCs w:val="22"/>
        </w:rPr>
      </w:pPr>
      <w:r w:rsidRPr="006E3E8A">
        <w:rPr>
          <w:rFonts w:asciiTheme="minorHAnsi" w:hAnsiTheme="minorHAnsi" w:cstheme="minorHAnsi"/>
          <w:sz w:val="16"/>
          <w:szCs w:val="22"/>
        </w:rPr>
        <w:t>Note</w:t>
      </w:r>
      <w:r w:rsidR="00AE503D" w:rsidRPr="006E3E8A">
        <w:rPr>
          <w:rFonts w:asciiTheme="minorHAnsi" w:hAnsiTheme="minorHAnsi" w:cstheme="minorHAnsi"/>
          <w:sz w:val="16"/>
          <w:szCs w:val="22"/>
        </w:rPr>
        <w:t>s</w:t>
      </w:r>
      <w:r w:rsidRPr="006E3E8A">
        <w:rPr>
          <w:rFonts w:asciiTheme="minorHAnsi" w:hAnsiTheme="minorHAnsi" w:cstheme="minorHAnsi"/>
          <w:sz w:val="16"/>
          <w:szCs w:val="22"/>
        </w:rPr>
        <w:t xml:space="preserve">: </w:t>
      </w:r>
      <w:r w:rsidR="00BA3DFB" w:rsidRPr="006E3E8A">
        <w:rPr>
          <w:rFonts w:asciiTheme="minorHAnsi" w:hAnsiTheme="minorHAnsi" w:cstheme="minorHAnsi"/>
          <w:sz w:val="16"/>
          <w:szCs w:val="22"/>
        </w:rPr>
        <w:t xml:space="preserve">Two matters were subsequently </w:t>
      </w:r>
      <w:r w:rsidR="00CC46E5" w:rsidRPr="006E3E8A">
        <w:rPr>
          <w:rFonts w:asciiTheme="minorHAnsi" w:hAnsiTheme="minorHAnsi" w:cstheme="minorHAnsi"/>
          <w:sz w:val="16"/>
          <w:szCs w:val="22"/>
        </w:rPr>
        <w:t>initiated by the Postal Service and approved by the Commission</w:t>
      </w:r>
      <w:r w:rsidR="00BA3DFB" w:rsidRPr="006E3E8A">
        <w:rPr>
          <w:rFonts w:asciiTheme="minorHAnsi" w:hAnsiTheme="minorHAnsi" w:cstheme="minorHAnsi"/>
          <w:sz w:val="16"/>
          <w:szCs w:val="22"/>
        </w:rPr>
        <w:t>.</w:t>
      </w:r>
      <w:r w:rsidRPr="006E3E8A">
        <w:rPr>
          <w:rFonts w:asciiTheme="minorHAnsi" w:hAnsiTheme="minorHAnsi" w:cstheme="minorHAnsi"/>
          <w:sz w:val="16"/>
          <w:szCs w:val="22"/>
        </w:rPr>
        <w:t xml:space="preserve"> </w:t>
      </w:r>
      <w:r w:rsidR="00A61CEB" w:rsidRPr="006E3E8A">
        <w:rPr>
          <w:rFonts w:asciiTheme="minorHAnsi" w:hAnsiTheme="minorHAnsi" w:cstheme="minorHAnsi"/>
          <w:sz w:val="16"/>
          <w:szCs w:val="22"/>
        </w:rPr>
        <w:t>* Docket No. RM2022-8, Order on Analytical Principles Used in Periodic Reporting (Proposal Two), September 23, 2022 (Order No. 6280) (</w:t>
      </w:r>
      <w:r w:rsidR="00BA3DFB" w:rsidRPr="006E3E8A">
        <w:rPr>
          <w:rFonts w:asciiTheme="minorHAnsi" w:hAnsiTheme="minorHAnsi" w:cstheme="minorHAnsi"/>
          <w:sz w:val="16"/>
          <w:szCs w:val="22"/>
        </w:rPr>
        <w:t>updating</w:t>
      </w:r>
      <w:r w:rsidR="00861A9C" w:rsidRPr="006E3E8A">
        <w:rPr>
          <w:rFonts w:asciiTheme="minorHAnsi" w:hAnsiTheme="minorHAnsi" w:cstheme="minorHAnsi"/>
          <w:sz w:val="16"/>
          <w:szCs w:val="22"/>
        </w:rPr>
        <w:t xml:space="preserve"> variability analysis used to attribute </w:t>
      </w:r>
      <w:r w:rsidR="002741B4" w:rsidRPr="006E3E8A">
        <w:rPr>
          <w:rFonts w:asciiTheme="minorHAnsi" w:hAnsiTheme="minorHAnsi" w:cstheme="minorHAnsi"/>
          <w:sz w:val="16"/>
          <w:szCs w:val="22"/>
        </w:rPr>
        <w:t>P</w:t>
      </w:r>
      <w:r w:rsidR="00861A9C" w:rsidRPr="006E3E8A">
        <w:rPr>
          <w:rFonts w:asciiTheme="minorHAnsi" w:hAnsiTheme="minorHAnsi" w:cstheme="minorHAnsi"/>
          <w:sz w:val="16"/>
          <w:szCs w:val="22"/>
        </w:rPr>
        <w:t>ostmaster costs)</w:t>
      </w:r>
      <w:r w:rsidR="00BA3DFB" w:rsidRPr="006E3E8A">
        <w:rPr>
          <w:rFonts w:asciiTheme="minorHAnsi" w:hAnsiTheme="minorHAnsi" w:cstheme="minorHAnsi"/>
          <w:sz w:val="16"/>
          <w:szCs w:val="22"/>
        </w:rPr>
        <w:t xml:space="preserve">; </w:t>
      </w:r>
      <w:r w:rsidR="004A1ED2" w:rsidRPr="006E3E8A">
        <w:rPr>
          <w:rFonts w:asciiTheme="minorHAnsi" w:hAnsiTheme="minorHAnsi" w:cstheme="minorHAnsi"/>
          <w:sz w:val="16"/>
          <w:szCs w:val="22"/>
        </w:rPr>
        <w:t>*</w:t>
      </w:r>
      <w:r w:rsidR="00AE503D" w:rsidRPr="006E3E8A">
        <w:rPr>
          <w:rFonts w:asciiTheme="minorHAnsi" w:hAnsiTheme="minorHAnsi" w:cstheme="minorHAnsi"/>
          <w:sz w:val="16"/>
          <w:szCs w:val="22"/>
        </w:rPr>
        <w:t>*</w:t>
      </w:r>
      <w:r w:rsidR="00134718" w:rsidRPr="006E3E8A">
        <w:rPr>
          <w:rFonts w:asciiTheme="minorHAnsi" w:hAnsiTheme="minorHAnsi" w:cstheme="minorHAnsi"/>
          <w:sz w:val="16"/>
          <w:szCs w:val="22"/>
        </w:rPr>
        <w:t xml:space="preserve"> </w:t>
      </w:r>
      <w:r w:rsidR="00AE503D" w:rsidRPr="006E3E8A">
        <w:rPr>
          <w:rFonts w:asciiTheme="minorHAnsi" w:hAnsiTheme="minorHAnsi" w:cstheme="minorHAnsi"/>
          <w:sz w:val="16"/>
          <w:szCs w:val="22"/>
        </w:rPr>
        <w:t>Docket No. RM2022-13, Order on Analytical Principles Used in Periodic Reporting (Proposal Six), November 3, 2022 (Order No. 6322)</w:t>
      </w:r>
      <w:r w:rsidR="00A61CEB" w:rsidRPr="006E3E8A">
        <w:rPr>
          <w:rFonts w:asciiTheme="minorHAnsi" w:hAnsiTheme="minorHAnsi" w:cstheme="minorHAnsi"/>
          <w:sz w:val="16"/>
          <w:szCs w:val="22"/>
        </w:rPr>
        <w:t xml:space="preserve"> (</w:t>
      </w:r>
      <w:r w:rsidR="00BA3DFB" w:rsidRPr="006E3E8A">
        <w:rPr>
          <w:rFonts w:asciiTheme="minorHAnsi" w:hAnsiTheme="minorHAnsi" w:cstheme="minorHAnsi"/>
          <w:sz w:val="16"/>
          <w:szCs w:val="22"/>
        </w:rPr>
        <w:t>updating methodology used for distributing peak season highway transportation costs to products</w:t>
      </w:r>
      <w:r w:rsidR="00A61CEB" w:rsidRPr="006E3E8A">
        <w:rPr>
          <w:rFonts w:asciiTheme="minorHAnsi" w:hAnsiTheme="minorHAnsi" w:cstheme="minorHAnsi"/>
          <w:sz w:val="16"/>
          <w:szCs w:val="22"/>
        </w:rPr>
        <w:t>)</w:t>
      </w:r>
      <w:r w:rsidR="00AE503D" w:rsidRPr="006E3E8A">
        <w:rPr>
          <w:rFonts w:asciiTheme="minorHAnsi" w:hAnsiTheme="minorHAnsi" w:cstheme="minorHAnsi"/>
          <w:sz w:val="16"/>
          <w:szCs w:val="22"/>
        </w:rPr>
        <w:t>.</w:t>
      </w:r>
    </w:p>
    <w:p w14:paraId="7AD4F581" w14:textId="02F40C2F" w:rsidR="00051900" w:rsidRPr="006E3E8A" w:rsidRDefault="00051900" w:rsidP="000E2102">
      <w:pPr>
        <w:keepNext/>
        <w:keepLines/>
        <w:spacing w:before="120" w:line="240" w:lineRule="auto"/>
        <w:ind w:firstLine="0"/>
        <w:rPr>
          <w:rFonts w:asciiTheme="minorHAnsi" w:hAnsiTheme="minorHAnsi" w:cs="Calibri"/>
          <w:sz w:val="16"/>
          <w:szCs w:val="22"/>
        </w:rPr>
      </w:pPr>
      <w:r w:rsidRPr="006E3E8A">
        <w:rPr>
          <w:rFonts w:asciiTheme="minorHAnsi" w:hAnsiTheme="minorHAnsi" w:cs="Calibri"/>
          <w:sz w:val="16"/>
          <w:szCs w:val="22"/>
        </w:rPr>
        <w:t>Source: Postal Service Initial Comments at 38.</w:t>
      </w:r>
    </w:p>
    <w:p w14:paraId="385EFAAD" w14:textId="77777777" w:rsidR="00993D23" w:rsidRPr="006E3E8A" w:rsidRDefault="00993D23" w:rsidP="00993D23">
      <w:pPr>
        <w:ind w:firstLine="0"/>
      </w:pPr>
    </w:p>
    <w:p w14:paraId="56DB5D1C" w14:textId="30C97905" w:rsidR="005F4CCA" w:rsidRPr="006E3E8A" w:rsidRDefault="005F4CCA" w:rsidP="00627E50">
      <w:r w:rsidRPr="006E3E8A">
        <w:lastRenderedPageBreak/>
        <w:t>The Commission note</w:t>
      </w:r>
      <w:r w:rsidR="00627E50" w:rsidRPr="006E3E8A">
        <w:t>s</w:t>
      </w:r>
      <w:r w:rsidRPr="006E3E8A">
        <w:t xml:space="preserve"> that the Postal Service </w:t>
      </w:r>
      <w:r w:rsidR="009435CE" w:rsidRPr="006E3E8A">
        <w:t xml:space="preserve">subsequently </w:t>
      </w:r>
      <w:r w:rsidRPr="006E3E8A">
        <w:t xml:space="preserve">filed a petition to initiate a rulemaking docket concerning Postmaster </w:t>
      </w:r>
      <w:r w:rsidR="00F90B07" w:rsidRPr="006E3E8A">
        <w:t>c</w:t>
      </w:r>
      <w:r w:rsidRPr="006E3E8A">
        <w:t xml:space="preserve">ost </w:t>
      </w:r>
      <w:r w:rsidR="00F90B07" w:rsidRPr="006E3E8A">
        <w:t>v</w:t>
      </w:r>
      <w:r w:rsidRPr="006E3E8A">
        <w:t>ariability</w:t>
      </w:r>
      <w:r w:rsidR="00174B4F" w:rsidRPr="006E3E8A">
        <w:t>,</w:t>
      </w:r>
      <w:r w:rsidR="00174B4F" w:rsidRPr="006E3E8A">
        <w:rPr>
          <w:rStyle w:val="FootnoteReference"/>
        </w:rPr>
        <w:footnoteReference w:id="11"/>
      </w:r>
      <w:r w:rsidR="00E142C7" w:rsidRPr="006E3E8A">
        <w:t xml:space="preserve"> which </w:t>
      </w:r>
      <w:r w:rsidR="00485C4F" w:rsidRPr="006E3E8A">
        <w:t>the Commission</w:t>
      </w:r>
      <w:r w:rsidR="00E142C7" w:rsidRPr="006E3E8A">
        <w:t xml:space="preserve"> approved</w:t>
      </w:r>
      <w:r w:rsidR="00D55E31" w:rsidRPr="006E3E8A">
        <w:t>.</w:t>
      </w:r>
      <w:r w:rsidRPr="006E3E8A">
        <w:rPr>
          <w:vertAlign w:val="superscript"/>
        </w:rPr>
        <w:footnoteReference w:id="12"/>
      </w:r>
      <w:r w:rsidR="00E142C7" w:rsidRPr="006E3E8A">
        <w:t xml:space="preserve"> </w:t>
      </w:r>
      <w:r w:rsidR="00D55E31" w:rsidRPr="006E3E8A">
        <w:t xml:space="preserve"> The Postal Service also</w:t>
      </w:r>
      <w:r w:rsidR="00E142C7" w:rsidRPr="006E3E8A">
        <w:t xml:space="preserve"> </w:t>
      </w:r>
      <w:r w:rsidR="000B42AF" w:rsidRPr="006E3E8A">
        <w:t xml:space="preserve">filed </w:t>
      </w:r>
      <w:r w:rsidR="00E142C7" w:rsidRPr="006E3E8A">
        <w:t xml:space="preserve">a petition to initiate a rulemaking docket concerning Transportation </w:t>
      </w:r>
      <w:r w:rsidR="00972C02" w:rsidRPr="006E3E8A">
        <w:t>Cost System (</w:t>
      </w:r>
      <w:r w:rsidR="00E142C7" w:rsidRPr="006E3E8A">
        <w:t>TRACS</w:t>
      </w:r>
      <w:r w:rsidR="00972C02" w:rsidRPr="006E3E8A">
        <w:t>)</w:t>
      </w:r>
      <w:r w:rsidR="00E142C7" w:rsidRPr="006E3E8A">
        <w:t xml:space="preserve"> </w:t>
      </w:r>
      <w:r w:rsidR="00D6504C" w:rsidRPr="006E3E8A">
        <w:t>p</w:t>
      </w:r>
      <w:r w:rsidR="00E142C7" w:rsidRPr="006E3E8A">
        <w:t xml:space="preserve">eak </w:t>
      </w:r>
      <w:r w:rsidR="00D6504C" w:rsidRPr="006E3E8A">
        <w:t>s</w:t>
      </w:r>
      <w:r w:rsidR="00E142C7" w:rsidRPr="006E3E8A">
        <w:t xml:space="preserve">eason </w:t>
      </w:r>
      <w:r w:rsidR="00D6504C" w:rsidRPr="006E3E8A">
        <w:t>s</w:t>
      </w:r>
      <w:r w:rsidR="00E142C7" w:rsidRPr="006E3E8A">
        <w:t xml:space="preserve">ampling of </w:t>
      </w:r>
      <w:r w:rsidR="00D6504C" w:rsidRPr="006E3E8A">
        <w:t>p</w:t>
      </w:r>
      <w:r w:rsidR="00E142C7" w:rsidRPr="006E3E8A">
        <w:t xml:space="preserve">urchased </w:t>
      </w:r>
      <w:r w:rsidR="00D6504C" w:rsidRPr="006E3E8A">
        <w:t>h</w:t>
      </w:r>
      <w:r w:rsidR="00E142C7" w:rsidRPr="006E3E8A">
        <w:t xml:space="preserve">ighway </w:t>
      </w:r>
      <w:r w:rsidR="00795ECC" w:rsidRPr="006E3E8A">
        <w:t>t</w:t>
      </w:r>
      <w:r w:rsidR="00E142C7" w:rsidRPr="006E3E8A">
        <w:t xml:space="preserve">ransportation </w:t>
      </w:r>
      <w:r w:rsidR="00795ECC" w:rsidRPr="006E3E8A">
        <w:t>c</w:t>
      </w:r>
      <w:r w:rsidR="00E142C7" w:rsidRPr="006E3E8A">
        <w:t>osts</w:t>
      </w:r>
      <w:r w:rsidR="00D55E31" w:rsidRPr="006E3E8A">
        <w:t>,</w:t>
      </w:r>
      <w:r w:rsidR="00D55E31" w:rsidRPr="006E3E8A">
        <w:rPr>
          <w:rStyle w:val="FootnoteReference"/>
        </w:rPr>
        <w:footnoteReference w:id="13"/>
      </w:r>
      <w:r w:rsidR="00E142C7" w:rsidRPr="006E3E8A">
        <w:t xml:space="preserve"> which </w:t>
      </w:r>
      <w:r w:rsidR="00485C4F" w:rsidRPr="006E3E8A">
        <w:t>the Commission</w:t>
      </w:r>
      <w:r w:rsidR="00E142C7" w:rsidRPr="006E3E8A">
        <w:t xml:space="preserve"> approved.</w:t>
      </w:r>
      <w:r w:rsidR="00E142C7" w:rsidRPr="006E3E8A">
        <w:rPr>
          <w:rStyle w:val="FootnoteReference"/>
        </w:rPr>
        <w:footnoteReference w:id="14"/>
      </w:r>
      <w:r w:rsidRPr="006E3E8A">
        <w:t xml:space="preserve">  Therefore, this obviates the need to address th</w:t>
      </w:r>
      <w:r w:rsidR="000B42AF" w:rsidRPr="006E3E8A">
        <w:t>ese</w:t>
      </w:r>
      <w:r w:rsidRPr="006E3E8A">
        <w:t xml:space="preserve"> research topic</w:t>
      </w:r>
      <w:r w:rsidR="00020E56" w:rsidRPr="006E3E8A">
        <w:t>s</w:t>
      </w:r>
      <w:r w:rsidRPr="006E3E8A">
        <w:t xml:space="preserve"> in the instant docket.</w:t>
      </w:r>
    </w:p>
    <w:p w14:paraId="388FCFC4" w14:textId="77777777" w:rsidR="005B32E4" w:rsidRPr="006E3E8A" w:rsidRDefault="005B32E4" w:rsidP="005B32E4">
      <w:pPr>
        <w:pStyle w:val="Heading2"/>
      </w:pPr>
      <w:r w:rsidRPr="006E3E8A">
        <w:t>PR Initial Comments</w:t>
      </w:r>
    </w:p>
    <w:p w14:paraId="00226ED2" w14:textId="0ADB75C4" w:rsidR="005F4CCA" w:rsidRPr="006E3E8A" w:rsidRDefault="005F4CCA" w:rsidP="005F4CCA">
      <w:r w:rsidRPr="006E3E8A">
        <w:t xml:space="preserve">The Public Representative states that the workshare cost avoidance estimates from Postal Service </w:t>
      </w:r>
      <w:r w:rsidR="00D15ADD" w:rsidRPr="006E3E8A">
        <w:t>c</w:t>
      </w:r>
      <w:r w:rsidRPr="006E3E8A">
        <w:t xml:space="preserve">ost models must be accurate under the Commission’s new workshare rules.  PR Initial Comments at 2.  She recommends three suggested priorities to improve the accuracy of cost avoidance estimates: the collection of allied labor volume and productivity data; an update of inputs in the worksharing cost </w:t>
      </w:r>
      <w:r w:rsidR="00157ACA" w:rsidRPr="006E3E8A">
        <w:t xml:space="preserve">avoidance </w:t>
      </w:r>
      <w:r w:rsidRPr="006E3E8A">
        <w:t xml:space="preserve">models; and a temporary increase in the number of In-Office Cost System (IOCS) tallies. </w:t>
      </w:r>
      <w:r w:rsidR="00D15ADD" w:rsidRPr="006E3E8A">
        <w:t xml:space="preserve"> </w:t>
      </w:r>
      <w:r w:rsidRPr="006E3E8A">
        <w:rPr>
          <w:i/>
        </w:rPr>
        <w:t>See i</w:t>
      </w:r>
      <w:r w:rsidRPr="006E3E8A">
        <w:rPr>
          <w:i/>
          <w:iCs/>
        </w:rPr>
        <w:t>d</w:t>
      </w:r>
      <w:r w:rsidRPr="006E3E8A">
        <w:rPr>
          <w:i/>
        </w:rPr>
        <w:t>.</w:t>
      </w:r>
      <w:r w:rsidRPr="006E3E8A">
        <w:t xml:space="preserve"> at 2-4.</w:t>
      </w:r>
    </w:p>
    <w:p w14:paraId="44020EE2" w14:textId="77777777" w:rsidR="005B32E4" w:rsidRPr="006E3E8A" w:rsidRDefault="005B32E4" w:rsidP="005B32E4">
      <w:pPr>
        <w:pStyle w:val="Heading2"/>
      </w:pPr>
      <w:bookmarkStart w:id="1" w:name="_Hlk109826008"/>
      <w:r w:rsidRPr="006E3E8A">
        <w:t>UPS Initial Comments</w:t>
      </w:r>
    </w:p>
    <w:p w14:paraId="1E01CE78" w14:textId="5F54B3EB" w:rsidR="005F4CCA" w:rsidRPr="006E3E8A" w:rsidRDefault="005F4CCA" w:rsidP="005F4CCA">
      <w:r w:rsidRPr="006E3E8A">
        <w:t xml:space="preserve">In its initial comments, UPS </w:t>
      </w:r>
      <w:bookmarkEnd w:id="1"/>
      <w:r w:rsidRPr="006E3E8A">
        <w:t xml:space="preserve">identifies </w:t>
      </w:r>
      <w:r w:rsidR="006F75A4" w:rsidRPr="006E3E8A">
        <w:t>several</w:t>
      </w:r>
      <w:r w:rsidRPr="006E3E8A">
        <w:t xml:space="preserve"> research topics and suggests several principles that </w:t>
      </w:r>
      <w:r w:rsidR="00990E2E" w:rsidRPr="006E3E8A">
        <w:t>it</w:t>
      </w:r>
      <w:r w:rsidRPr="006E3E8A">
        <w:t xml:space="preserve"> believes should guide future data collection and analytical work.  First, UPS suggests that the Commission should designate rural carrier costing as a priority area for analysis and data collection.  UPS Initial Comments at 1-</w:t>
      </w:r>
      <w:r w:rsidR="008141DC" w:rsidRPr="006E3E8A">
        <w:t>5</w:t>
      </w:r>
      <w:r w:rsidRPr="006E3E8A">
        <w:t xml:space="preserve">.  Second, UPS expresses concern about possible inaccuracies associated with “dated” </w:t>
      </w:r>
      <w:r w:rsidRPr="006E3E8A">
        <w:lastRenderedPageBreak/>
        <w:t xml:space="preserve">variabilities and requests that the Commission prioritize what it calls “flexible methodologies.”  </w:t>
      </w:r>
      <w:r w:rsidRPr="006E3E8A">
        <w:rPr>
          <w:i/>
        </w:rPr>
        <w:t>Id.</w:t>
      </w:r>
      <w:r w:rsidRPr="006E3E8A">
        <w:t xml:space="preserve"> at 5.  Third, UPS encourages the Commission and the Postal Service to focus on what it terms the longer-term volume changes’ impacts on costs and cost </w:t>
      </w:r>
      <w:r w:rsidR="002D0D38" w:rsidRPr="006E3E8A">
        <w:t>structure and</w:t>
      </w:r>
      <w:r w:rsidRPr="006E3E8A">
        <w:t xml:space="preserve"> proposes that the Postal Service collect data over multiple years.  </w:t>
      </w:r>
      <w:r w:rsidRPr="006E3E8A">
        <w:rPr>
          <w:i/>
          <w:iCs/>
        </w:rPr>
        <w:t>Id.</w:t>
      </w:r>
      <w:r w:rsidRPr="006E3E8A">
        <w:t xml:space="preserve"> at 6-</w:t>
      </w:r>
      <w:r w:rsidR="00CE39A6" w:rsidRPr="006E3E8A">
        <w:t>9</w:t>
      </w:r>
      <w:r w:rsidRPr="006E3E8A">
        <w:t xml:space="preserve">.  Fourth, UPS suggests that the timing of data collection should correspond to the timing of when the modeled costs are incurred.  </w:t>
      </w:r>
      <w:r w:rsidRPr="006E3E8A">
        <w:rPr>
          <w:i/>
          <w:iCs/>
        </w:rPr>
        <w:t>Id.</w:t>
      </w:r>
      <w:r w:rsidRPr="006E3E8A">
        <w:t xml:space="preserve"> at 9-10.  Fifth, UPS urges investigation into combining analysis of city carrier letter route street time costs and Special Purpose Route (SPR) costs into a single integrated approach, basing this recommendation on what it perceives as an error in the established SPR costing.  </w:t>
      </w:r>
      <w:r w:rsidRPr="006E3E8A">
        <w:rPr>
          <w:i/>
          <w:iCs/>
        </w:rPr>
        <w:t>Id.</w:t>
      </w:r>
      <w:r w:rsidRPr="006E3E8A">
        <w:t xml:space="preserve"> at 10-</w:t>
      </w:r>
      <w:r w:rsidR="00254734" w:rsidRPr="006E3E8A">
        <w:t>12</w:t>
      </w:r>
      <w:r w:rsidRPr="006E3E8A">
        <w:t>.  Sixth, UPS suggests that the Postal Service consider augmenting its long-standing Revenue, Pieces</w:t>
      </w:r>
      <w:r w:rsidR="00B35D45" w:rsidRPr="006E3E8A">
        <w:t>,</w:t>
      </w:r>
      <w:r w:rsidRPr="006E3E8A">
        <w:t xml:space="preserve"> and Weight (RPW) system to include data on the volume, or cubic footage, of its mail mix.  </w:t>
      </w:r>
      <w:r w:rsidRPr="006E3E8A">
        <w:rPr>
          <w:i/>
          <w:iCs/>
        </w:rPr>
        <w:t>Id.</w:t>
      </w:r>
      <w:r w:rsidRPr="006E3E8A">
        <w:t xml:space="preserve"> at 12-13.  Seventh, UPS argues that the Commission should require the Postal Service to calculate stand-alone costs for </w:t>
      </w:r>
      <w:r w:rsidR="00F35145" w:rsidRPr="006E3E8A">
        <w:t>M</w:t>
      </w:r>
      <w:r w:rsidRPr="006E3E8A">
        <w:t>arket</w:t>
      </w:r>
      <w:r w:rsidR="00F35145" w:rsidRPr="006E3E8A">
        <w:t xml:space="preserve"> D</w:t>
      </w:r>
      <w:r w:rsidRPr="006E3E8A">
        <w:t xml:space="preserve">ominant mail, claiming that the established measures of incremental costs for </w:t>
      </w:r>
      <w:r w:rsidR="00BD2006" w:rsidRPr="006E3E8A">
        <w:t>C</w:t>
      </w:r>
      <w:r w:rsidRPr="006E3E8A">
        <w:t xml:space="preserve">ompetitive products understate their true incremental costs.  </w:t>
      </w:r>
      <w:r w:rsidRPr="006E3E8A">
        <w:rPr>
          <w:i/>
          <w:iCs/>
        </w:rPr>
        <w:t>Id.</w:t>
      </w:r>
      <w:r w:rsidRPr="006E3E8A">
        <w:t xml:space="preserve"> at 13-14.</w:t>
      </w:r>
    </w:p>
    <w:p w14:paraId="465A95B4" w14:textId="77777777" w:rsidR="005B32E4" w:rsidRPr="006E3E8A" w:rsidRDefault="005B32E4" w:rsidP="005B32E4">
      <w:pPr>
        <w:pStyle w:val="Heading2"/>
      </w:pPr>
      <w:r w:rsidRPr="006E3E8A">
        <w:t>NPPC and PostCom Initial Comments</w:t>
      </w:r>
    </w:p>
    <w:p w14:paraId="1C2DF881" w14:textId="2EC33672" w:rsidR="005F4CCA" w:rsidRPr="006E3E8A" w:rsidRDefault="005F4CCA" w:rsidP="00761A97">
      <w:r w:rsidRPr="006E3E8A">
        <w:t>Both NPPC and PostCom suggest expanding the scope of this docket to include issues of demand analysis and volume forecasting.  NPPC suggests that a desirable area of research would be the effects of nominal (not inflation-adjusted) price changes on postal demand.  NPPC Initial Comments at 1; PostCom Initial Comments at 6.</w:t>
      </w:r>
      <w:r w:rsidR="005E413F" w:rsidRPr="006E3E8A">
        <w:t xml:space="preserve"> </w:t>
      </w:r>
      <w:r w:rsidRPr="006E3E8A">
        <w:t xml:space="preserve"> PostCom also believes that the changes planned for the Postal Service’s network create a new opportunity to reset and reconsider how costs for </w:t>
      </w:r>
      <w:r w:rsidR="00A123C0" w:rsidRPr="006E3E8A">
        <w:t>M</w:t>
      </w:r>
      <w:r w:rsidRPr="006E3E8A">
        <w:t xml:space="preserve">arket </w:t>
      </w:r>
      <w:r w:rsidR="00A123C0" w:rsidRPr="006E3E8A">
        <w:t>D</w:t>
      </w:r>
      <w:r w:rsidRPr="006E3E8A">
        <w:t xml:space="preserve">ominant products are defined and measured.  PostCom Initial Comments at 4.  In addition, PostCom suggests that short-term analytical efforts should focus on ensuring that the Postal Service’s existing systems are used optimally and recommends that the Postal Service expand efforts to measure costs directly.  </w:t>
      </w:r>
      <w:r w:rsidRPr="006E3E8A">
        <w:rPr>
          <w:i/>
          <w:iCs/>
        </w:rPr>
        <w:t>Id.</w:t>
      </w:r>
      <w:r w:rsidRPr="006E3E8A">
        <w:t xml:space="preserve"> at 2-3.</w:t>
      </w:r>
    </w:p>
    <w:p w14:paraId="2AA325BC" w14:textId="77777777" w:rsidR="005E0064" w:rsidRPr="006E3E8A" w:rsidRDefault="00761A97" w:rsidP="00B52189">
      <w:pPr>
        <w:pStyle w:val="Heading1"/>
      </w:pPr>
      <w:r w:rsidRPr="006E3E8A">
        <w:lastRenderedPageBreak/>
        <w:t>PARTIES’ REPLY COMMENTS</w:t>
      </w:r>
    </w:p>
    <w:p w14:paraId="4FEB71F7" w14:textId="1ECC0364" w:rsidR="00DF2818" w:rsidRPr="006E3E8A" w:rsidRDefault="00AF443A" w:rsidP="00DF2818">
      <w:r w:rsidRPr="006E3E8A">
        <w:t>T</w:t>
      </w:r>
      <w:r w:rsidR="00761A97" w:rsidRPr="006E3E8A">
        <w:t>he Postal Service,</w:t>
      </w:r>
      <w:r w:rsidR="00761A97" w:rsidRPr="006E3E8A">
        <w:rPr>
          <w:vertAlign w:val="superscript"/>
        </w:rPr>
        <w:footnoteReference w:id="15"/>
      </w:r>
      <w:r w:rsidR="00761A97" w:rsidRPr="006E3E8A">
        <w:t xml:space="preserve"> UPS,</w:t>
      </w:r>
      <w:r w:rsidR="00761A97" w:rsidRPr="006E3E8A">
        <w:rPr>
          <w:vertAlign w:val="superscript"/>
        </w:rPr>
        <w:footnoteReference w:id="16"/>
      </w:r>
      <w:r w:rsidR="00900272" w:rsidRPr="006E3E8A">
        <w:t xml:space="preserve"> </w:t>
      </w:r>
      <w:r w:rsidR="00761A97" w:rsidRPr="006E3E8A">
        <w:t>and Pitney Bowes</w:t>
      </w:r>
      <w:r w:rsidRPr="006E3E8A">
        <w:t xml:space="preserve"> filed reply comments in this docket</w:t>
      </w:r>
      <w:r w:rsidR="00761A97" w:rsidRPr="006E3E8A">
        <w:t>.</w:t>
      </w:r>
      <w:r w:rsidR="00761A97" w:rsidRPr="006E3E8A">
        <w:rPr>
          <w:vertAlign w:val="superscript"/>
        </w:rPr>
        <w:footnoteReference w:id="17"/>
      </w:r>
    </w:p>
    <w:p w14:paraId="167FF450" w14:textId="77777777" w:rsidR="00DF2818" w:rsidRPr="006E3E8A" w:rsidRDefault="000C2F58" w:rsidP="00DF2818">
      <w:pPr>
        <w:pStyle w:val="Heading2"/>
      </w:pPr>
      <w:r w:rsidRPr="006E3E8A">
        <w:t>Postal Service Reply Comments</w:t>
      </w:r>
    </w:p>
    <w:p w14:paraId="45CC63E6" w14:textId="379E120B" w:rsidR="006A0F06" w:rsidRPr="006E3E8A" w:rsidRDefault="006A0F06" w:rsidP="006A0F06">
      <w:r w:rsidRPr="006E3E8A">
        <w:t xml:space="preserve">The Postal Service’s </w:t>
      </w:r>
      <w:r w:rsidR="00D038DD" w:rsidRPr="006E3E8A">
        <w:t>r</w:t>
      </w:r>
      <w:r w:rsidRPr="006E3E8A">
        <w:t xml:space="preserve">eply </w:t>
      </w:r>
      <w:r w:rsidR="00D038DD" w:rsidRPr="006E3E8A">
        <w:t>c</w:t>
      </w:r>
      <w:r w:rsidRPr="006E3E8A">
        <w:t xml:space="preserve">omments address issues </w:t>
      </w:r>
      <w:r w:rsidR="0005119D" w:rsidRPr="006E3E8A">
        <w:t>the Postal Service</w:t>
      </w:r>
      <w:r w:rsidRPr="006E3E8A">
        <w:t xml:space="preserve"> finds with the initial comments filed by the Public Representative, UPS, </w:t>
      </w:r>
      <w:r w:rsidR="000F45A9" w:rsidRPr="006E3E8A">
        <w:t>NPPC</w:t>
      </w:r>
      <w:r w:rsidR="009C7B43" w:rsidRPr="006E3E8A">
        <w:t>,</w:t>
      </w:r>
      <w:r w:rsidR="000F45A9" w:rsidRPr="006E3E8A">
        <w:t xml:space="preserve"> and </w:t>
      </w:r>
      <w:r w:rsidR="00650C69" w:rsidRPr="006E3E8A">
        <w:t>PostCom</w:t>
      </w:r>
      <w:r w:rsidR="000F45A9" w:rsidRPr="006E3E8A">
        <w:t>.</w:t>
      </w:r>
    </w:p>
    <w:p w14:paraId="4D21494B" w14:textId="36825652" w:rsidR="00C518E9" w:rsidRPr="006E3E8A" w:rsidRDefault="00C86D17" w:rsidP="00CA27EB">
      <w:pPr>
        <w:pStyle w:val="Heading3"/>
      </w:pPr>
      <w:r w:rsidRPr="006E3E8A">
        <w:t xml:space="preserve">Reply Comments in Response to </w:t>
      </w:r>
      <w:r w:rsidR="009D4A76" w:rsidRPr="006E3E8A">
        <w:t xml:space="preserve">the </w:t>
      </w:r>
      <w:r w:rsidR="00C518E9" w:rsidRPr="006E3E8A">
        <w:t>Public Representative</w:t>
      </w:r>
      <w:r w:rsidR="009D4A76" w:rsidRPr="006E3E8A">
        <w:t>’s Comments</w:t>
      </w:r>
    </w:p>
    <w:p w14:paraId="11059AD1" w14:textId="20E55A1A" w:rsidR="00EA059C" w:rsidRPr="006E3E8A" w:rsidRDefault="00131D18" w:rsidP="006A0F06">
      <w:r w:rsidRPr="006E3E8A">
        <w:t>T</w:t>
      </w:r>
      <w:r w:rsidR="00EA059C" w:rsidRPr="006E3E8A">
        <w:t xml:space="preserve">he Postal Service </w:t>
      </w:r>
      <w:r w:rsidR="006F36F6" w:rsidRPr="006E3E8A">
        <w:t xml:space="preserve">does not support </w:t>
      </w:r>
      <w:r w:rsidR="00EA059C" w:rsidRPr="006E3E8A">
        <w:t xml:space="preserve">the Public Representative’s three suggested priorities to improve the accuracy of the cost </w:t>
      </w:r>
      <w:r w:rsidR="00E677AC" w:rsidRPr="006E3E8A">
        <w:t>avoidance</w:t>
      </w:r>
      <w:r w:rsidR="00EA059C" w:rsidRPr="006E3E8A">
        <w:t xml:space="preserve"> estimates</w:t>
      </w:r>
      <w:r w:rsidR="00E677AC" w:rsidRPr="006E3E8A">
        <w:t xml:space="preserve">. </w:t>
      </w:r>
      <w:r w:rsidR="00F12DB7" w:rsidRPr="006E3E8A">
        <w:t xml:space="preserve"> </w:t>
      </w:r>
      <w:r w:rsidR="00277CA4" w:rsidRPr="006E3E8A">
        <w:t>Postal Service</w:t>
      </w:r>
      <w:r w:rsidR="00E677AC" w:rsidRPr="006E3E8A">
        <w:t xml:space="preserve"> Reply Comments at 2.</w:t>
      </w:r>
    </w:p>
    <w:p w14:paraId="01512857" w14:textId="3B40EC33" w:rsidR="00150335" w:rsidRPr="006E3E8A" w:rsidRDefault="00FB1D79" w:rsidP="00CA27EB">
      <w:r w:rsidRPr="006E3E8A">
        <w:t>With regard to the</w:t>
      </w:r>
      <w:r w:rsidR="0075667E" w:rsidRPr="006E3E8A">
        <w:t xml:space="preserve"> collect</w:t>
      </w:r>
      <w:r w:rsidRPr="006E3E8A">
        <w:t>ion of</w:t>
      </w:r>
      <w:r w:rsidR="0075667E" w:rsidRPr="006E3E8A">
        <w:t xml:space="preserve"> allied labor volume and productivity data, the Postal Service notes that </w:t>
      </w:r>
      <w:r w:rsidR="00352E17" w:rsidRPr="006E3E8A">
        <w:t xml:space="preserve">the Public Representative agrees with the Commission that allied labor cost pool classifications should only be changed if supported by </w:t>
      </w:r>
      <w:r w:rsidR="00D84F79" w:rsidRPr="006E3E8A">
        <w:t>“</w:t>
      </w:r>
      <w:r w:rsidR="00352E17" w:rsidRPr="006E3E8A">
        <w:t>robust data or new studies.</w:t>
      </w:r>
      <w:r w:rsidR="00D84F79" w:rsidRPr="006E3E8A">
        <w:t xml:space="preserve">”  </w:t>
      </w:r>
      <w:r w:rsidR="005900E0" w:rsidRPr="006E3E8A">
        <w:rPr>
          <w:i/>
          <w:iCs/>
        </w:rPr>
        <w:t>Id.</w:t>
      </w:r>
      <w:r w:rsidR="00D84F79" w:rsidRPr="006E3E8A">
        <w:t xml:space="preserve"> at 3</w:t>
      </w:r>
      <w:r w:rsidR="00B12129" w:rsidRPr="006E3E8A">
        <w:t xml:space="preserve"> (quoting PR Comments at 3)</w:t>
      </w:r>
      <w:r w:rsidR="00D84F79" w:rsidRPr="006E3E8A">
        <w:t xml:space="preserve">. </w:t>
      </w:r>
      <w:r w:rsidR="00352E17" w:rsidRPr="006E3E8A">
        <w:t xml:space="preserve"> However, the Postal Service states that it </w:t>
      </w:r>
      <w:r w:rsidR="00ED0087" w:rsidRPr="006E3E8A">
        <w:t>“</w:t>
      </w:r>
      <w:r w:rsidR="00352E17" w:rsidRPr="006E3E8A">
        <w:t xml:space="preserve">does not plan on </w:t>
      </w:r>
      <w:r w:rsidR="00150335" w:rsidRPr="006E3E8A">
        <w:t xml:space="preserve">relitigating the cost pool topic in the near future and </w:t>
      </w:r>
      <w:r w:rsidR="00ED0087" w:rsidRPr="006E3E8A">
        <w:t xml:space="preserve">… </w:t>
      </w:r>
      <w:r w:rsidR="00150335" w:rsidRPr="006E3E8A">
        <w:t xml:space="preserve">does not believe an investigation of allied labor costs would be an efficient use of its limited resources at this time.”  </w:t>
      </w:r>
      <w:r w:rsidR="005F43E1" w:rsidRPr="006E3E8A">
        <w:t>Postal Service Reply Comments at 3.</w:t>
      </w:r>
      <w:r w:rsidR="00475670" w:rsidRPr="006E3E8A">
        <w:t xml:space="preserve">  The Postal Service also points out other various </w:t>
      </w:r>
      <w:r w:rsidR="00006911" w:rsidRPr="006E3E8A">
        <w:t>issues</w:t>
      </w:r>
      <w:r w:rsidR="00475670" w:rsidRPr="006E3E8A">
        <w:t xml:space="preserve"> related </w:t>
      </w:r>
      <w:r w:rsidR="00006911" w:rsidRPr="006E3E8A">
        <w:t>to allied labor data collection</w:t>
      </w:r>
      <w:r w:rsidR="00D46D59" w:rsidRPr="006E3E8A">
        <w:t xml:space="preserve">.  </w:t>
      </w:r>
      <w:r w:rsidR="00D46D59" w:rsidRPr="006E3E8A">
        <w:rPr>
          <w:i/>
          <w:iCs/>
        </w:rPr>
        <w:t>See id.</w:t>
      </w:r>
      <w:r w:rsidR="00D46D59" w:rsidRPr="006E3E8A">
        <w:t xml:space="preserve"> </w:t>
      </w:r>
      <w:r w:rsidR="0087057E" w:rsidRPr="006E3E8A">
        <w:t>at 3-</w:t>
      </w:r>
      <w:r w:rsidR="00666464" w:rsidRPr="006E3E8A">
        <w:t>6.</w:t>
      </w:r>
      <w:r w:rsidR="00CA27EB" w:rsidRPr="006E3E8A">
        <w:br w:type="page"/>
      </w:r>
    </w:p>
    <w:p w14:paraId="67355001" w14:textId="385D27FC" w:rsidR="00E677AC" w:rsidRPr="006E3E8A" w:rsidRDefault="00EE7838" w:rsidP="006A0F06">
      <w:r w:rsidRPr="006E3E8A">
        <w:lastRenderedPageBreak/>
        <w:t xml:space="preserve">With regard to </w:t>
      </w:r>
      <w:r w:rsidR="00150335" w:rsidRPr="006E3E8A">
        <w:t xml:space="preserve">updating the inputs </w:t>
      </w:r>
      <w:r w:rsidR="00A53EBF" w:rsidRPr="006E3E8A">
        <w:t xml:space="preserve">in the worksharing cost models, the Postal Service </w:t>
      </w:r>
      <w:r w:rsidR="00854B7F" w:rsidRPr="006E3E8A">
        <w:t xml:space="preserve">states that the Public </w:t>
      </w:r>
      <w:r w:rsidR="00650C69" w:rsidRPr="006E3E8A">
        <w:t>Representative’s</w:t>
      </w:r>
      <w:r w:rsidR="00854B7F" w:rsidRPr="006E3E8A">
        <w:t xml:space="preserve"> recommendation lacks specificity, and the example she highlighted, </w:t>
      </w:r>
      <w:r w:rsidR="00BE55E5" w:rsidRPr="006E3E8A">
        <w:t xml:space="preserve">the manual density study, </w:t>
      </w:r>
      <w:r w:rsidR="00F62B19" w:rsidRPr="006E3E8A">
        <w:t xml:space="preserve">“involves one of the most difficult </w:t>
      </w:r>
      <w:r w:rsidR="00AE2E2B" w:rsidRPr="006E3E8A">
        <w:t>types of data to obtain and has limited impact on the results.”</w:t>
      </w:r>
      <w:r w:rsidR="00233F64" w:rsidRPr="006E3E8A">
        <w:t xml:space="preserve">  </w:t>
      </w:r>
      <w:r w:rsidR="00233F64" w:rsidRPr="006E3E8A">
        <w:rPr>
          <w:i/>
          <w:iCs/>
        </w:rPr>
        <w:t>Id.</w:t>
      </w:r>
      <w:r w:rsidR="00233F64" w:rsidRPr="006E3E8A">
        <w:t xml:space="preserve"> at 6.</w:t>
      </w:r>
      <w:r w:rsidR="00AE2E2B" w:rsidRPr="006E3E8A">
        <w:t xml:space="preserve">  </w:t>
      </w:r>
      <w:r w:rsidR="00494B0D" w:rsidRPr="006E3E8A">
        <w:t xml:space="preserve">The Postal Service claims </w:t>
      </w:r>
      <w:r w:rsidR="0048152C" w:rsidRPr="006E3E8A">
        <w:t xml:space="preserve">the </w:t>
      </w:r>
      <w:r w:rsidR="00494B0D" w:rsidRPr="006E3E8A">
        <w:t xml:space="preserve">limited use, time constraints, and work disruptions make </w:t>
      </w:r>
      <w:r w:rsidR="0062700E" w:rsidRPr="006E3E8A">
        <w:t xml:space="preserve">manual density </w:t>
      </w:r>
      <w:r w:rsidR="00494B0D" w:rsidRPr="006E3E8A">
        <w:t xml:space="preserve">data collection inconsistent </w:t>
      </w:r>
      <w:r w:rsidR="00C518E9" w:rsidRPr="006E3E8A">
        <w:t>and</w:t>
      </w:r>
      <w:r w:rsidR="00494B0D" w:rsidRPr="006E3E8A">
        <w:t xml:space="preserve"> recommend</w:t>
      </w:r>
      <w:r w:rsidR="00BC7774" w:rsidRPr="006E3E8A">
        <w:t>s</w:t>
      </w:r>
      <w:r w:rsidR="00494B0D" w:rsidRPr="006E3E8A">
        <w:t xml:space="preserve"> that </w:t>
      </w:r>
      <w:r w:rsidR="00BC7774" w:rsidRPr="006E3E8A">
        <w:t>“</w:t>
      </w:r>
      <w:r w:rsidR="00494B0D" w:rsidRPr="006E3E8A">
        <w:t xml:space="preserve">the letter, flat, and parcel cost models be included as a long-term study area in its Initial Comments” as an alternative.  </w:t>
      </w:r>
      <w:r w:rsidR="00494B0D" w:rsidRPr="006E3E8A">
        <w:rPr>
          <w:i/>
          <w:iCs/>
        </w:rPr>
        <w:t>Id</w:t>
      </w:r>
      <w:r w:rsidR="00494B0D" w:rsidRPr="006E3E8A">
        <w:t>. at 7 (</w:t>
      </w:r>
      <w:r w:rsidR="006B3E2E" w:rsidRPr="006E3E8A">
        <w:t xml:space="preserve">citing </w:t>
      </w:r>
      <w:r w:rsidR="00E63F98" w:rsidRPr="006E3E8A">
        <w:t>Postal Service</w:t>
      </w:r>
      <w:r w:rsidR="00C518E9" w:rsidRPr="006E3E8A">
        <w:t xml:space="preserve"> </w:t>
      </w:r>
      <w:r w:rsidR="00494B0D" w:rsidRPr="006E3E8A">
        <w:t>Initial Comments at 28).</w:t>
      </w:r>
    </w:p>
    <w:p w14:paraId="1A79A286" w14:textId="222A6C7F" w:rsidR="00FB1D79" w:rsidRPr="006E3E8A" w:rsidRDefault="00C518E9" w:rsidP="00F635C9">
      <w:r w:rsidRPr="006E3E8A">
        <w:t xml:space="preserve">With regard to temporarily increasing the number of IOCS tallies, the Postal Service </w:t>
      </w:r>
      <w:r w:rsidR="00796C4F" w:rsidRPr="006E3E8A">
        <w:t xml:space="preserve">does not believe there to be “sufficient value” in doing so “to reduce </w:t>
      </w:r>
      <w:r w:rsidR="00976D71" w:rsidRPr="006E3E8A">
        <w:t>[coefficients of variation]</w:t>
      </w:r>
      <w:r w:rsidR="00796C4F" w:rsidRPr="006E3E8A">
        <w:t xml:space="preserve"> and increase the accuracy of cost estimates for small products” as the corresponding cost “could easily exceed the total contribution of such small products.”  </w:t>
      </w:r>
      <w:r w:rsidR="006674CD" w:rsidRPr="006E3E8A">
        <w:t>Postal Service Reply Comments</w:t>
      </w:r>
      <w:r w:rsidR="00796C4F" w:rsidRPr="006E3E8A">
        <w:t xml:space="preserve"> at 8.  Additionally, the Postal Service does not support the Public Representative’s statement that increasing the number of IOCS tallies </w:t>
      </w:r>
      <w:r w:rsidR="006926DA" w:rsidRPr="006E3E8A">
        <w:t>“</w:t>
      </w:r>
      <w:r w:rsidR="00796C4F" w:rsidRPr="006E3E8A">
        <w:t>would allow direct estimation of mail processing costs for rate categories</w:t>
      </w:r>
      <w:r w:rsidR="00A85789" w:rsidRPr="006E3E8A">
        <w:t>.</w:t>
      </w:r>
      <w:r w:rsidR="00796C4F" w:rsidRPr="006E3E8A">
        <w:t>”</w:t>
      </w:r>
      <w:r w:rsidR="006926DA" w:rsidRPr="006E3E8A">
        <w:t xml:space="preserve">  </w:t>
      </w:r>
      <w:r w:rsidR="006926DA" w:rsidRPr="006E3E8A">
        <w:rPr>
          <w:i/>
          <w:iCs/>
        </w:rPr>
        <w:t>Id</w:t>
      </w:r>
      <w:r w:rsidR="006926DA" w:rsidRPr="006E3E8A">
        <w:t>. at 9</w:t>
      </w:r>
      <w:r w:rsidR="00D55CCB" w:rsidRPr="006E3E8A">
        <w:t xml:space="preserve"> (</w:t>
      </w:r>
      <w:r w:rsidR="005603D3" w:rsidRPr="006E3E8A">
        <w:t>quoting</w:t>
      </w:r>
      <w:r w:rsidR="00D55CCB" w:rsidRPr="006E3E8A">
        <w:t xml:space="preserve"> PR </w:t>
      </w:r>
      <w:r w:rsidR="005900E0" w:rsidRPr="006E3E8A">
        <w:t xml:space="preserve">Initial Comments at </w:t>
      </w:r>
      <w:r w:rsidR="00E6787D" w:rsidRPr="006E3E8A">
        <w:t>3)</w:t>
      </w:r>
      <w:r w:rsidR="006926DA" w:rsidRPr="006E3E8A">
        <w:t>.</w:t>
      </w:r>
    </w:p>
    <w:p w14:paraId="74C74962" w14:textId="34ED9BAA" w:rsidR="006926DA" w:rsidRPr="006E3E8A" w:rsidRDefault="009D4A76" w:rsidP="00CA27EB">
      <w:pPr>
        <w:pStyle w:val="Heading3"/>
      </w:pPr>
      <w:r w:rsidRPr="006E3E8A">
        <w:t xml:space="preserve">Reply Comments in Response to </w:t>
      </w:r>
      <w:r w:rsidR="006926DA" w:rsidRPr="006E3E8A">
        <w:t>UPS</w:t>
      </w:r>
      <w:r w:rsidRPr="006E3E8A">
        <w:t>’</w:t>
      </w:r>
      <w:r w:rsidR="00C655BC" w:rsidRPr="006E3E8A">
        <w:t>s Comments</w:t>
      </w:r>
    </w:p>
    <w:p w14:paraId="1C572BF8" w14:textId="4AD65D5A" w:rsidR="006926DA" w:rsidRPr="006E3E8A" w:rsidRDefault="006926DA" w:rsidP="006926DA">
      <w:r w:rsidRPr="006E3E8A">
        <w:t xml:space="preserve">In its </w:t>
      </w:r>
      <w:r w:rsidR="00437767" w:rsidRPr="006E3E8A">
        <w:t>r</w:t>
      </w:r>
      <w:r w:rsidRPr="006E3E8A">
        <w:t xml:space="preserve">eply </w:t>
      </w:r>
      <w:r w:rsidR="00437767" w:rsidRPr="006E3E8A">
        <w:t>c</w:t>
      </w:r>
      <w:r w:rsidRPr="006E3E8A">
        <w:t>omments</w:t>
      </w:r>
      <w:r w:rsidR="00437767" w:rsidRPr="006E3E8A">
        <w:t>,</w:t>
      </w:r>
      <w:r w:rsidRPr="006E3E8A">
        <w:t xml:space="preserve"> the Postal Service addresses UPS’</w:t>
      </w:r>
      <w:r w:rsidR="00BF225F" w:rsidRPr="006E3E8A">
        <w:t>s</w:t>
      </w:r>
      <w:r w:rsidRPr="006E3E8A">
        <w:t xml:space="preserve"> </w:t>
      </w:r>
      <w:r w:rsidR="000B5680" w:rsidRPr="006E3E8A">
        <w:t>suggestions to include cubic footage data “of its mail mix” in its RPW system,</w:t>
      </w:r>
      <w:r w:rsidR="002C016D" w:rsidRPr="006E3E8A">
        <w:t xml:space="preserve"> </w:t>
      </w:r>
      <w:r w:rsidR="00D35C65" w:rsidRPr="006E3E8A">
        <w:t xml:space="preserve">focus on rural carrier costing data </w:t>
      </w:r>
      <w:r w:rsidR="002C016D" w:rsidRPr="006E3E8A">
        <w:t>collect</w:t>
      </w:r>
      <w:r w:rsidR="00D35C65" w:rsidRPr="006E3E8A">
        <w:t>ion</w:t>
      </w:r>
      <w:r w:rsidR="002C016D" w:rsidRPr="006E3E8A">
        <w:t xml:space="preserve"> and analysis, </w:t>
      </w:r>
      <w:r w:rsidR="00571292" w:rsidRPr="006E3E8A">
        <w:t>incorporate flexible methodologies,</w:t>
      </w:r>
      <w:r w:rsidR="00B52B36" w:rsidRPr="006E3E8A">
        <w:t xml:space="preserve"> “focus on … longer-term costs,” </w:t>
      </w:r>
      <w:r w:rsidR="002E21DB" w:rsidRPr="006E3E8A">
        <w:t>“calculate stand-alone costs,”</w:t>
      </w:r>
      <w:r w:rsidR="000B5680" w:rsidRPr="006E3E8A">
        <w:t xml:space="preserve"> </w:t>
      </w:r>
      <w:r w:rsidR="00307B01" w:rsidRPr="006E3E8A">
        <w:t xml:space="preserve">and </w:t>
      </w:r>
      <w:r w:rsidR="00926E16" w:rsidRPr="006E3E8A">
        <w:t>develop “an integrated city carrier network cost</w:t>
      </w:r>
      <w:r w:rsidR="005C3A03" w:rsidRPr="006E3E8A">
        <w:t>.</w:t>
      </w:r>
      <w:r w:rsidR="00926E16" w:rsidRPr="006E3E8A">
        <w:t>”</w:t>
      </w:r>
      <w:r w:rsidR="005C3A03" w:rsidRPr="006E3E8A">
        <w:t xml:space="preserve">  </w:t>
      </w:r>
      <w:r w:rsidR="005C3A03" w:rsidRPr="006E3E8A">
        <w:rPr>
          <w:i/>
          <w:iCs/>
        </w:rPr>
        <w:t>Id</w:t>
      </w:r>
      <w:r w:rsidR="005C3A03" w:rsidRPr="006E3E8A">
        <w:t>. at 9</w:t>
      </w:r>
      <w:r w:rsidR="002C016D" w:rsidRPr="006E3E8A">
        <w:t>, 11</w:t>
      </w:r>
      <w:r w:rsidR="00B52B36" w:rsidRPr="006E3E8A">
        <w:t>,</w:t>
      </w:r>
      <w:r w:rsidR="00246A05" w:rsidRPr="006E3E8A">
        <w:t xml:space="preserve"> 12,</w:t>
      </w:r>
      <w:r w:rsidR="00B52B36" w:rsidRPr="006E3E8A">
        <w:t xml:space="preserve"> 17</w:t>
      </w:r>
      <w:r w:rsidR="002E21DB" w:rsidRPr="006E3E8A">
        <w:t>, 21</w:t>
      </w:r>
      <w:r w:rsidR="00926E16" w:rsidRPr="006E3E8A">
        <w:t>, 27</w:t>
      </w:r>
      <w:r w:rsidR="005C3A03" w:rsidRPr="006E3E8A">
        <w:t>.</w:t>
      </w:r>
    </w:p>
    <w:p w14:paraId="573E7AC5" w14:textId="5BE4EAE2" w:rsidR="00EA592D" w:rsidRPr="006E3E8A" w:rsidRDefault="000B5680" w:rsidP="00926E16">
      <w:r w:rsidRPr="006E3E8A">
        <w:t>In response to the suggestion to include cubic footage data “of its mail mix” in its RPW system, the Postal Service claims that, although “convenient</w:t>
      </w:r>
      <w:r w:rsidR="00EA592D" w:rsidRPr="006E3E8A">
        <w:t>[,]</w:t>
      </w:r>
      <w:r w:rsidRPr="006E3E8A">
        <w:t xml:space="preserve"> … the costs associated with populating such additional data fields would likely outweigh the benefits to a subset of stakeholders.”</w:t>
      </w:r>
      <w:r w:rsidR="005C3A03" w:rsidRPr="006E3E8A">
        <w:t xml:space="preserve">  </w:t>
      </w:r>
      <w:r w:rsidR="005C3A03" w:rsidRPr="006E3E8A">
        <w:rPr>
          <w:i/>
          <w:iCs/>
        </w:rPr>
        <w:t>Id</w:t>
      </w:r>
      <w:r w:rsidR="005C3A03" w:rsidRPr="006E3E8A">
        <w:t>. at 9.</w:t>
      </w:r>
      <w:r w:rsidR="00EA592D" w:rsidRPr="006E3E8A">
        <w:t xml:space="preserve">  Consequently, the Postal Service disagrees with UPS in this regard.</w:t>
      </w:r>
      <w:r w:rsidR="00926E16" w:rsidRPr="006E3E8A">
        <w:t xml:space="preserve">  </w:t>
      </w:r>
      <w:r w:rsidR="00D35C65" w:rsidRPr="006E3E8A">
        <w:t xml:space="preserve">In </w:t>
      </w:r>
      <w:r w:rsidR="00AC11F6" w:rsidRPr="006E3E8A">
        <w:t xml:space="preserve">response to the suggestion to </w:t>
      </w:r>
      <w:r w:rsidR="00D35C65" w:rsidRPr="006E3E8A">
        <w:t>focus on rural carrier costing data collection and analysis, the Postal Service stat</w:t>
      </w:r>
      <w:r w:rsidR="003808C1" w:rsidRPr="006E3E8A">
        <w:t>e</w:t>
      </w:r>
      <w:r w:rsidR="000C319F" w:rsidRPr="006E3E8A">
        <w:t>s</w:t>
      </w:r>
      <w:r w:rsidR="00D35C65" w:rsidRPr="006E3E8A">
        <w:t xml:space="preserve"> </w:t>
      </w:r>
      <w:r w:rsidR="009232AC" w:rsidRPr="006E3E8A">
        <w:t>that</w:t>
      </w:r>
      <w:r w:rsidR="00D35C65" w:rsidRPr="006E3E8A">
        <w:t xml:space="preserve"> the evaluation factors are </w:t>
      </w:r>
      <w:r w:rsidR="00D35C65" w:rsidRPr="006E3E8A">
        <w:lastRenderedPageBreak/>
        <w:t>appropriate as they “determine rural carrier compensation”</w:t>
      </w:r>
      <w:r w:rsidR="003808C1" w:rsidRPr="006E3E8A">
        <w:t xml:space="preserve"> and</w:t>
      </w:r>
      <w:r w:rsidR="00D35C65" w:rsidRPr="006E3E8A">
        <w:t xml:space="preserve"> attest</w:t>
      </w:r>
      <w:r w:rsidR="000C319F" w:rsidRPr="006E3E8A">
        <w:t>s</w:t>
      </w:r>
      <w:r w:rsidR="00D35C65" w:rsidRPr="006E3E8A">
        <w:t xml:space="preserve"> that as the</w:t>
      </w:r>
      <w:r w:rsidR="003808C1" w:rsidRPr="006E3E8A">
        <w:t>y</w:t>
      </w:r>
      <w:r w:rsidR="00D35C65" w:rsidRPr="006E3E8A">
        <w:t xml:space="preserve"> change, it will “continue to use ‘method of payment’ analysis to update the rural carrier cost model” and will present “the updated rural carrier cost model in a rulemaking docket.”  </w:t>
      </w:r>
      <w:r w:rsidR="00D35C65" w:rsidRPr="006E3E8A">
        <w:rPr>
          <w:i/>
          <w:iCs/>
        </w:rPr>
        <w:t>Id</w:t>
      </w:r>
      <w:r w:rsidR="00D35C65" w:rsidRPr="006E3E8A">
        <w:t>.</w:t>
      </w:r>
      <w:r w:rsidR="003808C1" w:rsidRPr="006E3E8A">
        <w:t xml:space="preserve"> at 12.  </w:t>
      </w:r>
      <w:r w:rsidR="00625FCC" w:rsidRPr="006E3E8A">
        <w:t xml:space="preserve">In response to the suggestion </w:t>
      </w:r>
      <w:r w:rsidR="00C2688E" w:rsidRPr="006E3E8A">
        <w:t xml:space="preserve">to </w:t>
      </w:r>
      <w:r w:rsidR="00816438" w:rsidRPr="006E3E8A">
        <w:t>incorporate flexible methodologies, t</w:t>
      </w:r>
      <w:r w:rsidR="003808C1" w:rsidRPr="006E3E8A">
        <w:t xml:space="preserve">he Postal Service </w:t>
      </w:r>
      <w:r w:rsidR="002E21DB" w:rsidRPr="006E3E8A">
        <w:t>d</w:t>
      </w:r>
      <w:r w:rsidR="000C319F" w:rsidRPr="006E3E8A">
        <w:t>oes</w:t>
      </w:r>
      <w:r w:rsidR="002E21DB" w:rsidRPr="006E3E8A">
        <w:t xml:space="preserve"> not support</w:t>
      </w:r>
      <w:r w:rsidR="003808C1" w:rsidRPr="006E3E8A">
        <w:t xml:space="preserve"> </w:t>
      </w:r>
      <w:r w:rsidR="00E353CD" w:rsidRPr="006E3E8A">
        <w:t>this</w:t>
      </w:r>
      <w:r w:rsidR="003808C1" w:rsidRPr="006E3E8A">
        <w:t xml:space="preserve"> as</w:t>
      </w:r>
      <w:r w:rsidR="002E21DB" w:rsidRPr="006E3E8A">
        <w:t xml:space="preserve"> “</w:t>
      </w:r>
      <w:r w:rsidR="003808C1" w:rsidRPr="006E3E8A">
        <w:t xml:space="preserve">the </w:t>
      </w:r>
      <w:r w:rsidR="003E20A4" w:rsidRPr="006E3E8A">
        <w:t>established methodologies do a good job accommodating relative volume changes</w:t>
      </w:r>
      <w:r w:rsidR="003808C1" w:rsidRPr="006E3E8A">
        <w:t xml:space="preserve">.”  </w:t>
      </w:r>
      <w:r w:rsidR="003808C1" w:rsidRPr="006E3E8A">
        <w:rPr>
          <w:i/>
          <w:iCs/>
        </w:rPr>
        <w:t>Id</w:t>
      </w:r>
      <w:r w:rsidR="003808C1" w:rsidRPr="006E3E8A">
        <w:t>.</w:t>
      </w:r>
      <w:r w:rsidR="003E20A4" w:rsidRPr="006E3E8A">
        <w:t xml:space="preserve"> at 12, 16.</w:t>
      </w:r>
      <w:r w:rsidR="00B52B36" w:rsidRPr="006E3E8A">
        <w:t xml:space="preserve">  </w:t>
      </w:r>
      <w:r w:rsidR="00DE18B7" w:rsidRPr="006E3E8A">
        <w:t xml:space="preserve">In response to the suggestion to focus on </w:t>
      </w:r>
      <w:r w:rsidR="00C21841" w:rsidRPr="006E3E8A">
        <w:t>“</w:t>
      </w:r>
      <w:r w:rsidR="00DE18B7" w:rsidRPr="006E3E8A">
        <w:t>long</w:t>
      </w:r>
      <w:r w:rsidR="00606634" w:rsidRPr="006E3E8A">
        <w:t>er-term</w:t>
      </w:r>
      <w:r w:rsidR="00C21841" w:rsidRPr="006E3E8A">
        <w:t>”</w:t>
      </w:r>
      <w:r w:rsidR="00606634" w:rsidRPr="006E3E8A">
        <w:t xml:space="preserve"> costs, t</w:t>
      </w:r>
      <w:r w:rsidR="00B52B36" w:rsidRPr="006E3E8A">
        <w:t>he Postal Service claim</w:t>
      </w:r>
      <w:r w:rsidR="000C319F" w:rsidRPr="006E3E8A">
        <w:t>s</w:t>
      </w:r>
      <w:r w:rsidR="00B52B36" w:rsidRPr="006E3E8A">
        <w:t xml:space="preserve"> </w:t>
      </w:r>
      <w:r w:rsidR="00606634" w:rsidRPr="006E3E8A">
        <w:t xml:space="preserve">this </w:t>
      </w:r>
      <w:r w:rsidR="00B52B36" w:rsidRPr="006E3E8A">
        <w:t xml:space="preserve">“is based on a misconception of cost concepts and a misunderstanding of how data are used in estimation.”  </w:t>
      </w:r>
      <w:r w:rsidR="00B52B36" w:rsidRPr="006E3E8A">
        <w:rPr>
          <w:i/>
          <w:iCs/>
        </w:rPr>
        <w:t>Id</w:t>
      </w:r>
      <w:r w:rsidR="00B52B36" w:rsidRPr="006E3E8A">
        <w:t>. at 17.</w:t>
      </w:r>
      <w:r w:rsidR="002E21DB" w:rsidRPr="006E3E8A">
        <w:t xml:space="preserve">  </w:t>
      </w:r>
      <w:r w:rsidR="00B11BE7" w:rsidRPr="006E3E8A">
        <w:t xml:space="preserve">In response to the suggestion </w:t>
      </w:r>
      <w:r w:rsidR="00DF18FF" w:rsidRPr="006E3E8A">
        <w:t>to calculate stand-alone costs, t</w:t>
      </w:r>
      <w:r w:rsidR="00E41315" w:rsidRPr="006E3E8A">
        <w:t xml:space="preserve">he Postal Service </w:t>
      </w:r>
      <w:r w:rsidR="00975370" w:rsidRPr="006E3E8A">
        <w:t>disagrees</w:t>
      </w:r>
      <w:r w:rsidR="00975370" w:rsidRPr="006E3E8A" w:rsidDel="00D941C6">
        <w:t xml:space="preserve"> </w:t>
      </w:r>
      <w:r w:rsidR="002622A0" w:rsidRPr="006E3E8A">
        <w:t>with UPS</w:t>
      </w:r>
      <w:r w:rsidR="00D941C6" w:rsidRPr="006E3E8A">
        <w:t xml:space="preserve"> </w:t>
      </w:r>
      <w:r w:rsidR="00E41315" w:rsidRPr="006E3E8A">
        <w:t>as it “fails to provide an accurate method that improves upon the established method</w:t>
      </w:r>
      <w:r w:rsidR="00EC5A13" w:rsidRPr="006E3E8A">
        <w:t xml:space="preserve">” </w:t>
      </w:r>
      <w:r w:rsidR="00F328AE" w:rsidRPr="006E3E8A">
        <w:t xml:space="preserve"> </w:t>
      </w:r>
      <w:r w:rsidR="00E41315" w:rsidRPr="006E3E8A">
        <w:t xml:space="preserve">and </w:t>
      </w:r>
      <w:r w:rsidR="0047034A" w:rsidRPr="006E3E8A">
        <w:t>“</w:t>
      </w:r>
      <w:r w:rsidR="00E41315" w:rsidRPr="006E3E8A">
        <w:t xml:space="preserve">is unnecessary, theoretically flawed, and computationally impractical.”  </w:t>
      </w:r>
      <w:r w:rsidR="00E41315" w:rsidRPr="006E3E8A">
        <w:rPr>
          <w:i/>
          <w:iCs/>
        </w:rPr>
        <w:t>Id</w:t>
      </w:r>
      <w:r w:rsidR="00E41315" w:rsidRPr="006E3E8A">
        <w:t xml:space="preserve">. at 26.  </w:t>
      </w:r>
      <w:r w:rsidR="00926E16" w:rsidRPr="006E3E8A">
        <w:t xml:space="preserve">Lastly, </w:t>
      </w:r>
      <w:r w:rsidR="00360827" w:rsidRPr="006E3E8A">
        <w:t xml:space="preserve">in response to the suggestion to develop an integrated city carrier network cost, </w:t>
      </w:r>
      <w:r w:rsidR="00926E16" w:rsidRPr="006E3E8A">
        <w:t xml:space="preserve">the Postal Service </w:t>
      </w:r>
      <w:r w:rsidR="00D1676C" w:rsidRPr="006E3E8A">
        <w:t>does not support it because it is</w:t>
      </w:r>
      <w:r w:rsidR="00C645FB" w:rsidRPr="006E3E8A">
        <w:t xml:space="preserve"> based upon</w:t>
      </w:r>
      <w:r w:rsidR="00926E16" w:rsidRPr="006E3E8A">
        <w:t xml:space="preserve"> “a misunderstanding of how Special Purpose Route costs are developed and ignores the impracticality of an integrated estimation.”  </w:t>
      </w:r>
      <w:r w:rsidR="00926E16" w:rsidRPr="006E3E8A">
        <w:rPr>
          <w:i/>
          <w:iCs/>
        </w:rPr>
        <w:t>Id</w:t>
      </w:r>
      <w:r w:rsidR="00926E16" w:rsidRPr="006E3E8A">
        <w:t>. at 27.</w:t>
      </w:r>
    </w:p>
    <w:p w14:paraId="12F8C1D1" w14:textId="26B4850B" w:rsidR="006926DA" w:rsidRPr="006E3E8A" w:rsidRDefault="007A26BF" w:rsidP="00CA27EB">
      <w:pPr>
        <w:pStyle w:val="Heading3"/>
      </w:pPr>
      <w:r w:rsidRPr="006E3E8A">
        <w:t xml:space="preserve">Reply Comments in Response to </w:t>
      </w:r>
      <w:r w:rsidR="006926DA" w:rsidRPr="006E3E8A">
        <w:t>NPPC</w:t>
      </w:r>
      <w:r w:rsidRPr="006E3E8A">
        <w:t>’s</w:t>
      </w:r>
      <w:r w:rsidR="006926DA" w:rsidRPr="006E3E8A">
        <w:t xml:space="preserve"> and PostCom</w:t>
      </w:r>
      <w:r w:rsidRPr="006E3E8A">
        <w:t>’s Comments</w:t>
      </w:r>
    </w:p>
    <w:p w14:paraId="10E63597" w14:textId="2EF2DB97" w:rsidR="00CA27EB" w:rsidRPr="006E3E8A" w:rsidRDefault="00926E16" w:rsidP="00944F78">
      <w:r w:rsidRPr="006E3E8A">
        <w:t xml:space="preserve">In its </w:t>
      </w:r>
      <w:r w:rsidR="00F7662C" w:rsidRPr="006E3E8A">
        <w:t>r</w:t>
      </w:r>
      <w:r w:rsidRPr="006E3E8A">
        <w:t xml:space="preserve">eply </w:t>
      </w:r>
      <w:r w:rsidR="00F7662C" w:rsidRPr="006E3E8A">
        <w:t>c</w:t>
      </w:r>
      <w:r w:rsidRPr="006E3E8A">
        <w:t>omments</w:t>
      </w:r>
      <w:r w:rsidR="00F7662C" w:rsidRPr="006E3E8A">
        <w:t>,</w:t>
      </w:r>
      <w:r w:rsidRPr="006E3E8A">
        <w:t xml:space="preserve"> the Postal Service addresses NPPC</w:t>
      </w:r>
      <w:r w:rsidR="003C366A" w:rsidRPr="006E3E8A">
        <w:t>’s</w:t>
      </w:r>
      <w:r w:rsidRPr="006E3E8A">
        <w:t xml:space="preserve"> and PostCom’s suggestion to expand “the scope of this docket to include issues of demand analysis and volume forecasting.”  </w:t>
      </w:r>
      <w:r w:rsidRPr="006E3E8A">
        <w:rPr>
          <w:i/>
          <w:iCs/>
        </w:rPr>
        <w:t>Id</w:t>
      </w:r>
      <w:r w:rsidRPr="006E3E8A">
        <w:t>. at 29.</w:t>
      </w:r>
      <w:r w:rsidR="00F5103A" w:rsidRPr="006E3E8A">
        <w:t xml:space="preserve">  </w:t>
      </w:r>
      <w:r w:rsidR="005C5D10" w:rsidRPr="006E3E8A">
        <w:t>The Postal Service recommends the Commission rejects these issues as they fall outside the</w:t>
      </w:r>
      <w:r w:rsidR="00F5103A" w:rsidRPr="006E3E8A">
        <w:t xml:space="preserve"> current scope of th</w:t>
      </w:r>
      <w:r w:rsidR="005C5D10" w:rsidRPr="006E3E8A">
        <w:t>e</w:t>
      </w:r>
      <w:r w:rsidR="00F5103A" w:rsidRPr="006E3E8A">
        <w:t xml:space="preserve"> docket</w:t>
      </w:r>
      <w:r w:rsidR="005C5D10" w:rsidRPr="006E3E8A">
        <w:t>.</w:t>
      </w:r>
      <w:r w:rsidR="00F5103A" w:rsidRPr="006E3E8A">
        <w:t xml:space="preserve">  </w:t>
      </w:r>
      <w:r w:rsidR="00F5103A" w:rsidRPr="006E3E8A">
        <w:rPr>
          <w:i/>
          <w:iCs/>
        </w:rPr>
        <w:t>Id.</w:t>
      </w:r>
      <w:r w:rsidR="00F5103A" w:rsidRPr="006E3E8A">
        <w:t xml:space="preserve"> at 29-30</w:t>
      </w:r>
      <w:r w:rsidR="005C5D10" w:rsidRPr="006E3E8A">
        <w:t>, 37</w:t>
      </w:r>
      <w:r w:rsidR="00F5103A" w:rsidRPr="006E3E8A">
        <w:t>.  Additionally, the Postal Service claim</w:t>
      </w:r>
      <w:r w:rsidR="000C319F" w:rsidRPr="006E3E8A">
        <w:t>s</w:t>
      </w:r>
      <w:r w:rsidR="00F5103A" w:rsidRPr="006E3E8A">
        <w:t xml:space="preserve"> their justification consists of “factual errors and flawed reasoning.”</w:t>
      </w:r>
      <w:r w:rsidR="005C5D10" w:rsidRPr="006E3E8A">
        <w:t xml:space="preserve">  </w:t>
      </w:r>
      <w:r w:rsidR="005C5D10" w:rsidRPr="006E3E8A">
        <w:rPr>
          <w:i/>
          <w:iCs/>
        </w:rPr>
        <w:t>Id</w:t>
      </w:r>
      <w:r w:rsidR="005C5D10" w:rsidRPr="006E3E8A">
        <w:t>. at 30.</w:t>
      </w:r>
    </w:p>
    <w:p w14:paraId="0602A7FA" w14:textId="48C5E05C" w:rsidR="000C2F58" w:rsidRPr="006E3E8A" w:rsidRDefault="00CA27EB" w:rsidP="00CA27EB">
      <w:pPr>
        <w:spacing w:line="240" w:lineRule="auto"/>
        <w:ind w:firstLine="0"/>
      </w:pPr>
      <w:r w:rsidRPr="006E3E8A">
        <w:br w:type="page"/>
      </w:r>
    </w:p>
    <w:p w14:paraId="6AA28F09" w14:textId="77777777" w:rsidR="000C2F58" w:rsidRPr="006E3E8A" w:rsidRDefault="000C2F58" w:rsidP="000C2F58">
      <w:pPr>
        <w:pStyle w:val="Heading2"/>
      </w:pPr>
      <w:r w:rsidRPr="006E3E8A">
        <w:lastRenderedPageBreak/>
        <w:t>UPS Reply Comments</w:t>
      </w:r>
    </w:p>
    <w:p w14:paraId="79563A69" w14:textId="7CDAAD6C" w:rsidR="00C822E9" w:rsidRPr="006E3E8A" w:rsidRDefault="00FD5CAC" w:rsidP="000C2F58">
      <w:r w:rsidRPr="006E3E8A">
        <w:t>UPS’</w:t>
      </w:r>
      <w:r w:rsidR="00A40190" w:rsidRPr="006E3E8A">
        <w:t>s</w:t>
      </w:r>
      <w:r w:rsidRPr="006E3E8A">
        <w:t xml:space="preserve"> </w:t>
      </w:r>
      <w:r w:rsidR="00E643AC" w:rsidRPr="006E3E8A">
        <w:t>r</w:t>
      </w:r>
      <w:r w:rsidRPr="006E3E8A">
        <w:t xml:space="preserve">eply </w:t>
      </w:r>
      <w:r w:rsidR="00E643AC" w:rsidRPr="006E3E8A">
        <w:t>c</w:t>
      </w:r>
      <w:r w:rsidRPr="006E3E8A">
        <w:t xml:space="preserve">omments address </w:t>
      </w:r>
      <w:r w:rsidR="002A7159" w:rsidRPr="006E3E8A">
        <w:t>agreements</w:t>
      </w:r>
      <w:r w:rsidRPr="006E3E8A">
        <w:t xml:space="preserve"> and issues </w:t>
      </w:r>
      <w:r w:rsidR="009319A4" w:rsidRPr="006E3E8A">
        <w:t>UPS</w:t>
      </w:r>
      <w:r w:rsidRPr="006E3E8A">
        <w:t xml:space="preserve"> finds with the initial comments filed by the Postal Service along with reiterating “its support for technical conferences.”  UPS Reply Comments at </w:t>
      </w:r>
      <w:r w:rsidR="00EB4116" w:rsidRPr="006E3E8A">
        <w:t>1-</w:t>
      </w:r>
      <w:r w:rsidRPr="006E3E8A">
        <w:t>6.</w:t>
      </w:r>
    </w:p>
    <w:p w14:paraId="7C0BCECB" w14:textId="592C8399" w:rsidR="00FD5CAC" w:rsidRPr="006E3E8A" w:rsidRDefault="004C7861" w:rsidP="000C2F58">
      <w:r w:rsidRPr="006E3E8A">
        <w:t xml:space="preserve">UPS </w:t>
      </w:r>
      <w:r w:rsidR="00E22682" w:rsidRPr="006E3E8A">
        <w:t>agrees with</w:t>
      </w:r>
      <w:r w:rsidRPr="006E3E8A">
        <w:t xml:space="preserve"> many of the study areas proposed by the Postal Service.  Specifically, UPS supports the proposition “to update the rural carrier cost model with a new set of evaluation factors” </w:t>
      </w:r>
      <w:r w:rsidR="00A664AD" w:rsidRPr="006E3E8A">
        <w:t xml:space="preserve">in the </w:t>
      </w:r>
      <w:r w:rsidRPr="006E3E8A">
        <w:t>“near-term,” “to ‘review and consider alternatives to the established treatment of vehicle depreciation and maintenance costs</w:t>
      </w:r>
      <w:r w:rsidR="00A664AD" w:rsidRPr="006E3E8A">
        <w:t>[,]</w:t>
      </w:r>
      <w:r w:rsidRPr="006E3E8A">
        <w:t xml:space="preserve">’ and to ‘revisit the criterion … for the treatment of [headquarters] costs as group-specific to competitive products.’”  </w:t>
      </w:r>
      <w:r w:rsidRPr="006E3E8A">
        <w:rPr>
          <w:i/>
          <w:iCs/>
        </w:rPr>
        <w:t>Id</w:t>
      </w:r>
      <w:r w:rsidRPr="006E3E8A">
        <w:t>. at 2 (citations omitted).</w:t>
      </w:r>
    </w:p>
    <w:p w14:paraId="6C093D4D" w14:textId="3EDB18FD" w:rsidR="00B666F7" w:rsidRPr="006E3E8A" w:rsidRDefault="00C91EE3" w:rsidP="00596D76">
      <w:r w:rsidRPr="006E3E8A">
        <w:t xml:space="preserve">UPS expresses concern </w:t>
      </w:r>
      <w:r w:rsidR="00084341" w:rsidRPr="006E3E8A">
        <w:t>about</w:t>
      </w:r>
      <w:r w:rsidRPr="006E3E8A">
        <w:t xml:space="preserve"> some </w:t>
      </w:r>
      <w:r w:rsidR="00633187" w:rsidRPr="006E3E8A">
        <w:t>of the issues discussed in</w:t>
      </w:r>
      <w:r w:rsidRPr="006E3E8A">
        <w:t xml:space="preserve"> the Postal Service</w:t>
      </w:r>
      <w:r w:rsidR="00633187" w:rsidRPr="006E3E8A">
        <w:t>’s comments</w:t>
      </w:r>
      <w:r w:rsidR="007C5DF9" w:rsidRPr="006E3E8A">
        <w:t>,</w:t>
      </w:r>
      <w:r w:rsidR="00084341" w:rsidRPr="006E3E8A">
        <w:t xml:space="preserve"> including the</w:t>
      </w:r>
      <w:r w:rsidR="00633187" w:rsidRPr="006E3E8A">
        <w:t xml:space="preserve"> caution towards using operational data in costing models, </w:t>
      </w:r>
      <w:r w:rsidR="00084341" w:rsidRPr="006E3E8A">
        <w:t>the</w:t>
      </w:r>
      <w:r w:rsidR="007F6F7B" w:rsidRPr="006E3E8A">
        <w:t xml:space="preserve"> plan to solely consider vehicle size when examining vehicle costs, and </w:t>
      </w:r>
      <w:r w:rsidR="00084341" w:rsidRPr="006E3E8A">
        <w:t>the</w:t>
      </w:r>
      <w:r w:rsidR="00523911" w:rsidRPr="006E3E8A">
        <w:t xml:space="preserve"> focus on group-specific costs in its</w:t>
      </w:r>
      <w:r w:rsidR="007F6F7B" w:rsidRPr="006E3E8A">
        <w:t xml:space="preserve"> plan</w:t>
      </w:r>
      <w:r w:rsidR="00523911" w:rsidRPr="006E3E8A">
        <w:t>ned examination of “headquarters and similar management costs</w:t>
      </w:r>
      <w:r w:rsidRPr="006E3E8A">
        <w:t>.</w:t>
      </w:r>
      <w:r w:rsidR="00523911" w:rsidRPr="006E3E8A">
        <w:t>”</w:t>
      </w:r>
      <w:r w:rsidR="007F6F7B" w:rsidRPr="006E3E8A">
        <w:t xml:space="preserve">  </w:t>
      </w:r>
      <w:r w:rsidR="007F6F7B" w:rsidRPr="006E3E8A">
        <w:rPr>
          <w:i/>
          <w:iCs/>
        </w:rPr>
        <w:t>Id</w:t>
      </w:r>
      <w:r w:rsidR="007F6F7B" w:rsidRPr="006E3E8A">
        <w:t xml:space="preserve">. at </w:t>
      </w:r>
      <w:r w:rsidR="00EA34D5" w:rsidRPr="006E3E8A">
        <w:t xml:space="preserve">2, </w:t>
      </w:r>
      <w:r w:rsidR="007F6F7B" w:rsidRPr="006E3E8A">
        <w:t>5</w:t>
      </w:r>
      <w:r w:rsidR="00523911" w:rsidRPr="006E3E8A">
        <w:t>, 6</w:t>
      </w:r>
      <w:r w:rsidR="007F6F7B" w:rsidRPr="006E3E8A">
        <w:t>.</w:t>
      </w:r>
      <w:r w:rsidR="00633187" w:rsidRPr="006E3E8A">
        <w:t xml:space="preserve">  </w:t>
      </w:r>
      <w:r w:rsidR="0089271D" w:rsidRPr="006E3E8A">
        <w:t>With regard to</w:t>
      </w:r>
      <w:r w:rsidR="000C4525" w:rsidRPr="006E3E8A">
        <w:t xml:space="preserve"> the Postal Service’s caution towards using operational data, </w:t>
      </w:r>
      <w:r w:rsidR="00633187" w:rsidRPr="006E3E8A">
        <w:t xml:space="preserve">UPS supports </w:t>
      </w:r>
      <w:r w:rsidR="00C43E83" w:rsidRPr="006E3E8A">
        <w:t>“</w:t>
      </w:r>
      <w:r w:rsidR="00633187" w:rsidRPr="006E3E8A">
        <w:t xml:space="preserve">expand[ing] the use of </w:t>
      </w:r>
      <w:r w:rsidR="00C43E83" w:rsidRPr="006E3E8A">
        <w:t>current</w:t>
      </w:r>
      <w:r w:rsidR="00633187" w:rsidRPr="006E3E8A">
        <w:t xml:space="preserve"> operational data in costing</w:t>
      </w:r>
      <w:r w:rsidR="00C0493A" w:rsidRPr="006E3E8A">
        <w:t>”</w:t>
      </w:r>
      <w:r w:rsidR="00633187" w:rsidRPr="006E3E8A">
        <w:t xml:space="preserve"> models</w:t>
      </w:r>
      <w:r w:rsidR="00C43E83" w:rsidRPr="006E3E8A">
        <w:t xml:space="preserve"> to avoid “‘lock[ing] in’ costing relationships that guarantee persistent errors in costing results.”  </w:t>
      </w:r>
      <w:r w:rsidR="00C43E83" w:rsidRPr="006E3E8A">
        <w:rPr>
          <w:i/>
          <w:iCs/>
        </w:rPr>
        <w:t>Id</w:t>
      </w:r>
      <w:r w:rsidR="00C43E83" w:rsidRPr="006E3E8A">
        <w:t>. at 3</w:t>
      </w:r>
      <w:r w:rsidR="00633187" w:rsidRPr="006E3E8A">
        <w:t>.</w:t>
      </w:r>
      <w:r w:rsidR="007F6F7B" w:rsidRPr="006E3E8A">
        <w:t xml:space="preserve">  </w:t>
      </w:r>
      <w:r w:rsidR="0089271D" w:rsidRPr="006E3E8A">
        <w:t>With</w:t>
      </w:r>
      <w:r w:rsidR="0049533D" w:rsidRPr="006E3E8A">
        <w:t xml:space="preserve"> regard to</w:t>
      </w:r>
      <w:r w:rsidR="007F6F7B" w:rsidRPr="006E3E8A">
        <w:t xml:space="preserve"> examining vehicle costs, UPS suggests considering </w:t>
      </w:r>
      <w:r w:rsidR="00EA1A8D" w:rsidRPr="006E3E8A">
        <w:t xml:space="preserve">the effects of </w:t>
      </w:r>
      <w:r w:rsidR="007F6F7B" w:rsidRPr="006E3E8A">
        <w:t xml:space="preserve">fleet size in addition to vehicle size (as the Postal Service had suggested).  </w:t>
      </w:r>
      <w:r w:rsidR="007F6F7B" w:rsidRPr="006E3E8A">
        <w:rPr>
          <w:i/>
          <w:iCs/>
        </w:rPr>
        <w:t>Id</w:t>
      </w:r>
      <w:r w:rsidR="007F6F7B" w:rsidRPr="006E3E8A">
        <w:t>. at 5.</w:t>
      </w:r>
      <w:r w:rsidR="00523911" w:rsidRPr="006E3E8A">
        <w:t xml:space="preserve">  </w:t>
      </w:r>
      <w:r w:rsidR="00851992" w:rsidRPr="006E3E8A">
        <w:t>With regard to</w:t>
      </w:r>
      <w:r w:rsidR="00523911" w:rsidRPr="006E3E8A">
        <w:t xml:space="preserve"> examining “headquarters and similar management costs,” UPS claims</w:t>
      </w:r>
      <w:r w:rsidR="00596D76" w:rsidRPr="006E3E8A">
        <w:t xml:space="preserve"> consideration of other costs in addition to group-specific costs would provide “a more complete view of how the Postal Service’s costs would change in the absence of competitive products.”  </w:t>
      </w:r>
      <w:r w:rsidR="00596D76" w:rsidRPr="006E3E8A">
        <w:rPr>
          <w:i/>
          <w:iCs/>
        </w:rPr>
        <w:t>Id</w:t>
      </w:r>
      <w:r w:rsidR="00596D76" w:rsidRPr="006E3E8A">
        <w:t>. at 6.</w:t>
      </w:r>
    </w:p>
    <w:p w14:paraId="3981A10B" w14:textId="1809693A" w:rsidR="000C2F58" w:rsidRPr="006E3E8A" w:rsidRDefault="00B666F7" w:rsidP="00596D76">
      <w:r w:rsidRPr="006E3E8A">
        <w:t xml:space="preserve">UPS supports “using technical conferences in this docket as a means to provide additional transparency and a greater understanding of the intended approaches of the Postal Service’s ongoing studies as well as their practical limitations.”  </w:t>
      </w:r>
      <w:r w:rsidRPr="006E3E8A">
        <w:rPr>
          <w:i/>
          <w:iCs/>
        </w:rPr>
        <w:t>Id</w:t>
      </w:r>
      <w:r w:rsidRPr="006E3E8A">
        <w:t xml:space="preserve">. at 7.  </w:t>
      </w:r>
      <w:r w:rsidR="009C7B43" w:rsidRPr="006E3E8A">
        <w:t xml:space="preserve">Additionally, </w:t>
      </w:r>
      <w:r w:rsidRPr="006E3E8A">
        <w:t>UPS belie</w:t>
      </w:r>
      <w:r w:rsidR="009C7B43" w:rsidRPr="006E3E8A">
        <w:t>ves</w:t>
      </w:r>
      <w:r w:rsidRPr="006E3E8A">
        <w:t xml:space="preserve"> </w:t>
      </w:r>
      <w:r w:rsidR="009C7B43" w:rsidRPr="006E3E8A">
        <w:t>these may, “</w:t>
      </w:r>
      <w:r w:rsidRPr="006E3E8A">
        <w:t xml:space="preserve">in the future, facilitate timely and efficient updates to analytical costing principles.”  </w:t>
      </w:r>
      <w:r w:rsidRPr="006E3E8A">
        <w:rPr>
          <w:i/>
          <w:iCs/>
        </w:rPr>
        <w:t>Id</w:t>
      </w:r>
      <w:r w:rsidRPr="006E3E8A">
        <w:t>. at 8.</w:t>
      </w:r>
    </w:p>
    <w:p w14:paraId="3D0BF664" w14:textId="77777777" w:rsidR="00C52096" w:rsidRPr="006E3E8A" w:rsidRDefault="000C2F58" w:rsidP="000C2F58">
      <w:pPr>
        <w:pStyle w:val="Heading2"/>
      </w:pPr>
      <w:r w:rsidRPr="006E3E8A">
        <w:lastRenderedPageBreak/>
        <w:t>Pi</w:t>
      </w:r>
      <w:r w:rsidR="00C518E9" w:rsidRPr="006E3E8A">
        <w:t>t</w:t>
      </w:r>
      <w:r w:rsidRPr="006E3E8A">
        <w:t>ney Bowes Reply Comments</w:t>
      </w:r>
    </w:p>
    <w:p w14:paraId="0EF83A8A" w14:textId="448DCEE0" w:rsidR="000C2F58" w:rsidRPr="006E3E8A" w:rsidRDefault="009C7B43" w:rsidP="009C7B43">
      <w:r w:rsidRPr="006E3E8A">
        <w:t xml:space="preserve">Pitney Bowes’ </w:t>
      </w:r>
      <w:r w:rsidR="001C7BC8" w:rsidRPr="006E3E8A">
        <w:t>r</w:t>
      </w:r>
      <w:r w:rsidRPr="006E3E8A">
        <w:t xml:space="preserve">eply </w:t>
      </w:r>
      <w:r w:rsidR="001C7BC8" w:rsidRPr="006E3E8A">
        <w:t>c</w:t>
      </w:r>
      <w:r w:rsidRPr="006E3E8A">
        <w:t xml:space="preserve">omments address UPS’ proposed stand-alone costs </w:t>
      </w:r>
      <w:r w:rsidR="00AF519E" w:rsidRPr="006E3E8A">
        <w:t xml:space="preserve">for Market Dominant products </w:t>
      </w:r>
      <w:r w:rsidRPr="006E3E8A">
        <w:t xml:space="preserve">and the Postal Service’s </w:t>
      </w:r>
      <w:r w:rsidR="00C619F6" w:rsidRPr="006E3E8A">
        <w:t>proposed enhancement of IOCS data collection</w:t>
      </w:r>
      <w:r w:rsidRPr="006E3E8A">
        <w:t>.  Pitney Bowes Reply Comments at 1</w:t>
      </w:r>
      <w:r w:rsidR="00C619F6" w:rsidRPr="006E3E8A">
        <w:t>, 4</w:t>
      </w:r>
      <w:r w:rsidRPr="006E3E8A">
        <w:t xml:space="preserve">.  </w:t>
      </w:r>
      <w:r w:rsidR="00FC2BE8" w:rsidRPr="006E3E8A">
        <w:t>With</w:t>
      </w:r>
      <w:r w:rsidR="00C619F6" w:rsidRPr="006E3E8A">
        <w:t xml:space="preserve"> regard to UPS’ proposition</w:t>
      </w:r>
      <w:r w:rsidR="00BD2296" w:rsidRPr="006E3E8A">
        <w:t xml:space="preserve"> for stand-alone costs</w:t>
      </w:r>
      <w:r w:rsidR="00C619F6" w:rsidRPr="006E3E8A">
        <w:t xml:space="preserve">, </w:t>
      </w:r>
      <w:r w:rsidR="004F6BC3" w:rsidRPr="006E3E8A">
        <w:t xml:space="preserve">Pitney Bowes claims </w:t>
      </w:r>
      <w:r w:rsidR="00C619F6" w:rsidRPr="006E3E8A">
        <w:t xml:space="preserve">it </w:t>
      </w:r>
      <w:r w:rsidR="009C7BAA" w:rsidRPr="006E3E8A">
        <w:t xml:space="preserve">is </w:t>
      </w:r>
      <w:r w:rsidR="004F6BC3" w:rsidRPr="006E3E8A">
        <w:t>“unnecessary and, at best,</w:t>
      </w:r>
      <w:r w:rsidR="009C7BAA" w:rsidRPr="006E3E8A">
        <w:t xml:space="preserve"> </w:t>
      </w:r>
      <w:r w:rsidR="004F6BC3" w:rsidRPr="006E3E8A">
        <w:t xml:space="preserve">redundant for regulatory costing purposes” </w:t>
      </w:r>
      <w:r w:rsidR="000870E4" w:rsidRPr="006E3E8A">
        <w:t xml:space="preserve">and it </w:t>
      </w:r>
      <w:r w:rsidR="00DC27D6" w:rsidRPr="006E3E8A">
        <w:t xml:space="preserve">is </w:t>
      </w:r>
      <w:r w:rsidR="000870E4" w:rsidRPr="006E3E8A">
        <w:t xml:space="preserve">also </w:t>
      </w:r>
      <w:r w:rsidR="00DC27D6" w:rsidRPr="006E3E8A">
        <w:t>based “on several false premises</w:t>
      </w:r>
      <w:r w:rsidR="000870E4" w:rsidRPr="006E3E8A">
        <w:t>.</w:t>
      </w:r>
      <w:r w:rsidR="00DC27D6" w:rsidRPr="006E3E8A">
        <w:t xml:space="preserve">” </w:t>
      </w:r>
      <w:r w:rsidR="004F6BC3" w:rsidRPr="006E3E8A">
        <w:t xml:space="preserve"> </w:t>
      </w:r>
      <w:r w:rsidR="004F6BC3" w:rsidRPr="006E3E8A">
        <w:rPr>
          <w:i/>
          <w:iCs/>
        </w:rPr>
        <w:t>Id</w:t>
      </w:r>
      <w:r w:rsidR="004F6BC3" w:rsidRPr="006E3E8A">
        <w:t>. at 2</w:t>
      </w:r>
      <w:r w:rsidR="009C7BAA" w:rsidRPr="006E3E8A">
        <w:t>, 4</w:t>
      </w:r>
      <w:r w:rsidR="004F6BC3" w:rsidRPr="006E3E8A">
        <w:t xml:space="preserve">.  </w:t>
      </w:r>
      <w:r w:rsidR="00FC2BE8" w:rsidRPr="006E3E8A">
        <w:t>With regard to</w:t>
      </w:r>
      <w:r w:rsidR="00C619F6" w:rsidRPr="006E3E8A">
        <w:t xml:space="preserve"> the Postal Service’s proposal</w:t>
      </w:r>
      <w:r w:rsidR="0008527B" w:rsidRPr="006E3E8A">
        <w:t xml:space="preserve"> to enhance IOCS data collection</w:t>
      </w:r>
      <w:r w:rsidR="00C619F6" w:rsidRPr="006E3E8A">
        <w:t>, Pitney Bowes</w:t>
      </w:r>
      <w:r w:rsidR="00A51B7E" w:rsidRPr="006E3E8A">
        <w:t xml:space="preserve"> states</w:t>
      </w:r>
      <w:r w:rsidR="00C619F6" w:rsidRPr="006E3E8A">
        <w:t xml:space="preserve"> </w:t>
      </w:r>
      <w:r w:rsidR="00A51B7E" w:rsidRPr="006E3E8A">
        <w:t xml:space="preserve">that it </w:t>
      </w:r>
      <w:r w:rsidR="00C619F6" w:rsidRPr="006E3E8A">
        <w:t>“supports initiatives to use additional barcode scanning data to augment and improve IOCS data</w:t>
      </w:r>
      <w:r w:rsidR="00306E25" w:rsidRPr="006E3E8A">
        <w:t>,” but it</w:t>
      </w:r>
      <w:r w:rsidR="00C619F6" w:rsidRPr="006E3E8A">
        <w:t xml:space="preserve"> is </w:t>
      </w:r>
      <w:r w:rsidR="00306E25" w:rsidRPr="006E3E8A">
        <w:t>“</w:t>
      </w:r>
      <w:r w:rsidR="00C619F6" w:rsidRPr="006E3E8A">
        <w:t>skeptical</w:t>
      </w:r>
      <w:r w:rsidR="00A51B7E" w:rsidRPr="006E3E8A">
        <w:t>, however,</w:t>
      </w:r>
      <w:r w:rsidR="00C619F6" w:rsidRPr="006E3E8A">
        <w:t xml:space="preserve"> of the Postal Service’s suggestion that undertaking this initiative will address the ‘gaps’ the Commission identified in Docket No. RM2021-4.”  </w:t>
      </w:r>
      <w:r w:rsidR="00C619F6" w:rsidRPr="006E3E8A">
        <w:rPr>
          <w:i/>
          <w:iCs/>
        </w:rPr>
        <w:t>Id</w:t>
      </w:r>
      <w:r w:rsidR="00C619F6" w:rsidRPr="006E3E8A">
        <w:t>. at 5.</w:t>
      </w:r>
    </w:p>
    <w:p w14:paraId="63EA7C4C" w14:textId="7DD43840" w:rsidR="00C52096" w:rsidRPr="006E3E8A" w:rsidRDefault="00C52096" w:rsidP="00C52096">
      <w:pPr>
        <w:pStyle w:val="Heading1"/>
      </w:pPr>
      <w:r w:rsidRPr="006E3E8A">
        <w:t>postcom’s motion for leave to file surreply comments</w:t>
      </w:r>
    </w:p>
    <w:p w14:paraId="35AF6A58" w14:textId="6756E848" w:rsidR="00C52096" w:rsidRPr="006E3E8A" w:rsidRDefault="00C45202" w:rsidP="00C52096">
      <w:r w:rsidRPr="006E3E8A">
        <w:t>On Ma</w:t>
      </w:r>
      <w:r w:rsidR="00314CD1" w:rsidRPr="006E3E8A">
        <w:t>y</w:t>
      </w:r>
      <w:r w:rsidRPr="006E3E8A">
        <w:t xml:space="preserve"> 10, 2022, PostCom filed a motion for leave to submit surreply comments to the Postal Service’s reply comments,</w:t>
      </w:r>
      <w:r w:rsidR="00314CD1" w:rsidRPr="006E3E8A">
        <w:rPr>
          <w:rStyle w:val="FootnoteReference"/>
        </w:rPr>
        <w:footnoteReference w:id="18"/>
      </w:r>
      <w:r w:rsidRPr="006E3E8A">
        <w:t xml:space="preserve"> and </w:t>
      </w:r>
      <w:r w:rsidR="00314CD1" w:rsidRPr="006E3E8A">
        <w:t>filed its surreply comments concurrently.</w:t>
      </w:r>
      <w:r w:rsidR="00314CD1" w:rsidRPr="006E3E8A">
        <w:rPr>
          <w:rStyle w:val="FootnoteReference"/>
        </w:rPr>
        <w:footnoteReference w:id="19"/>
      </w:r>
      <w:r w:rsidR="009D40EA" w:rsidRPr="006E3E8A">
        <w:t xml:space="preserve">  PostCom argues that good cause exists to grant its motion </w:t>
      </w:r>
      <w:r w:rsidR="008319DA" w:rsidRPr="006E3E8A">
        <w:t xml:space="preserve">for leave </w:t>
      </w:r>
      <w:r w:rsidR="009D40EA" w:rsidRPr="006E3E8A">
        <w:t xml:space="preserve">to file surreply comments, because the Postal Service </w:t>
      </w:r>
      <w:r w:rsidR="00331208" w:rsidRPr="006E3E8A">
        <w:t xml:space="preserve">allegedly </w:t>
      </w:r>
      <w:r w:rsidR="009D40EA" w:rsidRPr="006E3E8A">
        <w:t xml:space="preserve">raised issues regarding the scope of this docket that require clarification before the docket could proceed, and the Postal Service </w:t>
      </w:r>
      <w:r w:rsidR="003612BB" w:rsidRPr="006E3E8A">
        <w:t xml:space="preserve">allegedly </w:t>
      </w:r>
      <w:r w:rsidR="009D40EA" w:rsidRPr="006E3E8A">
        <w:t>presented “misleading factual information” in its reply comments.  PostCom Motion at 1.</w:t>
      </w:r>
      <w:r w:rsidR="008319DA" w:rsidRPr="006E3E8A">
        <w:t xml:space="preserve">  In its surreply comments, PostCom</w:t>
      </w:r>
      <w:r w:rsidR="00B138D8" w:rsidRPr="006E3E8A">
        <w:t xml:space="preserve"> argues that the Postal Service proposes to unreasonably narrow the scope of this docket to data provided in the Postal Service’s </w:t>
      </w:r>
      <w:r w:rsidR="009B6A72" w:rsidRPr="006E3E8A">
        <w:rPr>
          <w:i/>
          <w:iCs/>
        </w:rPr>
        <w:t>A</w:t>
      </w:r>
      <w:r w:rsidR="00B138D8" w:rsidRPr="006E3E8A">
        <w:rPr>
          <w:i/>
          <w:iCs/>
        </w:rPr>
        <w:t xml:space="preserve">nnual </w:t>
      </w:r>
      <w:r w:rsidR="009B6A72" w:rsidRPr="006E3E8A">
        <w:rPr>
          <w:i/>
          <w:iCs/>
        </w:rPr>
        <w:t>C</w:t>
      </w:r>
      <w:r w:rsidR="00B138D8" w:rsidRPr="006E3E8A">
        <w:rPr>
          <w:i/>
          <w:iCs/>
        </w:rPr>
        <w:t xml:space="preserve">ompliance </w:t>
      </w:r>
      <w:r w:rsidR="009B6A72" w:rsidRPr="006E3E8A">
        <w:rPr>
          <w:i/>
          <w:iCs/>
        </w:rPr>
        <w:t>R</w:t>
      </w:r>
      <w:r w:rsidR="00B138D8" w:rsidRPr="006E3E8A">
        <w:rPr>
          <w:i/>
          <w:iCs/>
        </w:rPr>
        <w:t>eports</w:t>
      </w:r>
      <w:r w:rsidR="00B138D8" w:rsidRPr="006E3E8A">
        <w:t xml:space="preserve">, while PostCom believes this docket should be broader in scope to include issues of </w:t>
      </w:r>
      <w:r w:rsidR="0007527C" w:rsidRPr="006E3E8A">
        <w:t>revenue</w:t>
      </w:r>
      <w:r w:rsidR="00B138D8" w:rsidRPr="006E3E8A">
        <w:t xml:space="preserve"> forecasting and demand </w:t>
      </w:r>
      <w:r w:rsidR="0007527C" w:rsidRPr="006E3E8A">
        <w:t>analysis</w:t>
      </w:r>
      <w:r w:rsidR="00B138D8" w:rsidRPr="006E3E8A">
        <w:t>.</w:t>
      </w:r>
      <w:r w:rsidR="0007527C" w:rsidRPr="006E3E8A">
        <w:t xml:space="preserve">  PostCom Sur</w:t>
      </w:r>
      <w:r w:rsidR="005D2D81" w:rsidRPr="006E3E8A">
        <w:t>r</w:t>
      </w:r>
      <w:r w:rsidR="0007527C" w:rsidRPr="006E3E8A">
        <w:t xml:space="preserve">eply Comments at 1-3.  In addition, PostCom argues </w:t>
      </w:r>
      <w:r w:rsidR="0007527C" w:rsidRPr="006E3E8A">
        <w:lastRenderedPageBreak/>
        <w:t xml:space="preserve">that the Postal Service </w:t>
      </w:r>
      <w:r w:rsidR="006A0798" w:rsidRPr="006E3E8A">
        <w:t>fails to recognize the magnitude of its revenue forecasting errors and there is potentially systemic forecast bias warrant</w:t>
      </w:r>
      <w:r w:rsidR="0097674A" w:rsidRPr="006E3E8A">
        <w:t>ing</w:t>
      </w:r>
      <w:r w:rsidR="006A0798" w:rsidRPr="006E3E8A">
        <w:t xml:space="preserve"> the Commission’s investigation.  </w:t>
      </w:r>
      <w:r w:rsidR="006A0798" w:rsidRPr="006E3E8A">
        <w:rPr>
          <w:i/>
          <w:iCs/>
        </w:rPr>
        <w:t>Id</w:t>
      </w:r>
      <w:r w:rsidR="006A0798" w:rsidRPr="006E3E8A">
        <w:t>. at 4-5.</w:t>
      </w:r>
    </w:p>
    <w:p w14:paraId="258F79AD" w14:textId="5F0B715F" w:rsidR="00314CD1" w:rsidRPr="006E3E8A" w:rsidRDefault="00314CD1" w:rsidP="00C52096">
      <w:r w:rsidRPr="006E3E8A">
        <w:t>On May 17, 2022, the Postal Service filed its opposition to the PostCom Motion.</w:t>
      </w:r>
      <w:r w:rsidRPr="006E3E8A">
        <w:rPr>
          <w:rStyle w:val="FootnoteReference"/>
        </w:rPr>
        <w:footnoteReference w:id="20"/>
      </w:r>
      <w:r w:rsidR="0072607D" w:rsidRPr="006E3E8A">
        <w:t xml:space="preserve">  The Postal Service </w:t>
      </w:r>
      <w:r w:rsidR="005D2D81" w:rsidRPr="006E3E8A">
        <w:t>argues that PostCom explained why it believes the scope of this docket to be broader in its initial comments, and the Postal Service explained why it believes the scope to be narrower in its reply comments.  Post</w:t>
      </w:r>
      <w:r w:rsidR="00A51B7E" w:rsidRPr="006E3E8A">
        <w:t>al</w:t>
      </w:r>
      <w:r w:rsidR="005D2D81" w:rsidRPr="006E3E8A">
        <w:t xml:space="preserve"> Service Opposition at 1.  The Postal Service claims that PostCom Surreply Comments do not shed any new light on this issue and should not be accepted by the Commission.  </w:t>
      </w:r>
      <w:r w:rsidR="005D2D81" w:rsidRPr="006E3E8A">
        <w:rPr>
          <w:i/>
          <w:iCs/>
        </w:rPr>
        <w:t>Id</w:t>
      </w:r>
      <w:r w:rsidR="005D2D81" w:rsidRPr="006E3E8A">
        <w:t xml:space="preserve">.  The Postal Service also disputes that it presented “misleading factual information” in its reply comments and states that PostCom </w:t>
      </w:r>
      <w:r w:rsidR="00357C15" w:rsidRPr="006E3E8A">
        <w:t xml:space="preserve">does not identify any such information in its surreply comments.  </w:t>
      </w:r>
      <w:r w:rsidR="00357C15" w:rsidRPr="006E3E8A">
        <w:rPr>
          <w:i/>
          <w:iCs/>
        </w:rPr>
        <w:t>Id</w:t>
      </w:r>
      <w:r w:rsidR="00357C15" w:rsidRPr="006E3E8A">
        <w:t>. at 1-2.</w:t>
      </w:r>
      <w:r w:rsidR="00CC04F4" w:rsidRPr="006E3E8A">
        <w:t xml:space="preserve">  Therefore, the Postal Service requests that the Commission deny the PostCom Motion.  </w:t>
      </w:r>
      <w:r w:rsidR="00CC04F4" w:rsidRPr="006E3E8A">
        <w:rPr>
          <w:i/>
          <w:iCs/>
        </w:rPr>
        <w:t>Id</w:t>
      </w:r>
      <w:r w:rsidR="00CC04F4" w:rsidRPr="006E3E8A">
        <w:t>. at 2.</w:t>
      </w:r>
    </w:p>
    <w:p w14:paraId="0C3BB52C" w14:textId="7299BB6C" w:rsidR="00C52096" w:rsidRPr="006E3E8A" w:rsidRDefault="00194AB0" w:rsidP="004E39B1">
      <w:r w:rsidRPr="006E3E8A">
        <w:t xml:space="preserve">Surreply comments are not permitted </w:t>
      </w:r>
      <w:r w:rsidR="005806D4" w:rsidRPr="006E3E8A">
        <w:t>under</w:t>
      </w:r>
      <w:r w:rsidRPr="006E3E8A">
        <w:t xml:space="preserve"> the </w:t>
      </w:r>
      <w:r w:rsidR="005806D4" w:rsidRPr="006E3E8A">
        <w:t xml:space="preserve">established </w:t>
      </w:r>
      <w:r w:rsidRPr="006E3E8A">
        <w:t>procedural schedule</w:t>
      </w:r>
      <w:r w:rsidR="0097674A" w:rsidRPr="006E3E8A">
        <w:t xml:space="preserve"> in this docket</w:t>
      </w:r>
      <w:r w:rsidRPr="006E3E8A">
        <w:t xml:space="preserve">.  </w:t>
      </w:r>
      <w:r w:rsidRPr="006E3E8A">
        <w:rPr>
          <w:i/>
          <w:iCs/>
        </w:rPr>
        <w:t>See</w:t>
      </w:r>
      <w:r w:rsidRPr="006E3E8A">
        <w:t xml:space="preserve"> Order No. 6004 at 11</w:t>
      </w:r>
      <w:r w:rsidR="008433CA" w:rsidRPr="006E3E8A">
        <w:t xml:space="preserve"> (setting deadline for initial comments)</w:t>
      </w:r>
      <w:r w:rsidRPr="006E3E8A">
        <w:t>; Order No</w:t>
      </w:r>
      <w:r w:rsidR="008433CA" w:rsidRPr="006E3E8A">
        <w:t>. 6120 at 2 (setting deadline for reply comments).  After reviewing parties’ filings, the Commission finds that PostCom</w:t>
      </w:r>
      <w:r w:rsidR="009B178F" w:rsidRPr="006E3E8A">
        <w:t xml:space="preserve">’s </w:t>
      </w:r>
      <w:r w:rsidR="00C7119E" w:rsidRPr="006E3E8A">
        <w:t xml:space="preserve">proposed </w:t>
      </w:r>
      <w:r w:rsidR="009B178F" w:rsidRPr="006E3E8A">
        <w:t>s</w:t>
      </w:r>
      <w:r w:rsidR="008433CA" w:rsidRPr="006E3E8A">
        <w:t>urreply comments do not further develop the factual record of this docket.  Instead, they contain only legal arguments already presented by PostCom in its initial comments</w:t>
      </w:r>
      <w:r w:rsidR="009B178F" w:rsidRPr="006E3E8A">
        <w:t>, and further elaboration of those arguments in response to the Postal Service’s reply comments and different interpretation</w:t>
      </w:r>
      <w:r w:rsidR="00AA22B2" w:rsidRPr="006E3E8A">
        <w:t xml:space="preserve">s </w:t>
      </w:r>
      <w:r w:rsidR="009B178F" w:rsidRPr="006E3E8A">
        <w:t xml:space="preserve">of facts (in other words, arguments) presented in the Postal Service’s reply comments.  As such, PostCom’s </w:t>
      </w:r>
      <w:r w:rsidR="00C7119E" w:rsidRPr="006E3E8A">
        <w:t xml:space="preserve">proposed </w:t>
      </w:r>
      <w:r w:rsidR="009B178F" w:rsidRPr="006E3E8A">
        <w:t>surreply comments do not aid the Commission’s decision-making process and the PostCom Motion is hereby denied.</w:t>
      </w:r>
      <w:r w:rsidR="00AA22B2" w:rsidRPr="006E3E8A">
        <w:t xml:space="preserve">  The Commission has denied motions for surreply comments under similar circumstances in </w:t>
      </w:r>
      <w:r w:rsidR="00AA22B2" w:rsidRPr="006E3E8A">
        <w:lastRenderedPageBreak/>
        <w:t>the past and continues to do so here.</w:t>
      </w:r>
      <w:r w:rsidR="009B178F" w:rsidRPr="006E3E8A">
        <w:rPr>
          <w:rStyle w:val="FootnoteReference"/>
        </w:rPr>
        <w:footnoteReference w:id="21"/>
      </w:r>
      <w:r w:rsidR="00240A50" w:rsidRPr="006E3E8A">
        <w:t xml:space="preserve">  To grant </w:t>
      </w:r>
      <w:r w:rsidR="00B275B8" w:rsidRPr="006E3E8A">
        <w:t>PostCom’s motion</w:t>
      </w:r>
      <w:r w:rsidR="004E39B1" w:rsidRPr="006E3E8A">
        <w:t xml:space="preserve"> here would create a slippery slope of allowing parties to submit successive comments, render the procedural schedule established in this docket meaningless, and frustrate the Commission’s administrative process.</w:t>
      </w:r>
    </w:p>
    <w:p w14:paraId="69A20BDC" w14:textId="5CB6C793" w:rsidR="00761A97" w:rsidRPr="006E3E8A" w:rsidRDefault="0095044B" w:rsidP="004A16C8">
      <w:pPr>
        <w:pStyle w:val="Heading1"/>
      </w:pPr>
      <w:r w:rsidRPr="006E3E8A">
        <w:t>Postal Service Progress update</w:t>
      </w:r>
      <w:r w:rsidR="0040487C" w:rsidRPr="006E3E8A">
        <w:t xml:space="preserve"> ON rESEARCH tOPICS</w:t>
      </w:r>
    </w:p>
    <w:p w14:paraId="11C5A21D" w14:textId="0F20880B" w:rsidR="00D86800" w:rsidRPr="006E3E8A" w:rsidRDefault="00EB6C79" w:rsidP="00F635C9">
      <w:r w:rsidRPr="006E3E8A">
        <w:t xml:space="preserve">Given that parties </w:t>
      </w:r>
      <w:r w:rsidR="00575C66" w:rsidRPr="006E3E8A">
        <w:t xml:space="preserve">submitted their initial comments and reply comments </w:t>
      </w:r>
      <w:r w:rsidR="008B0D47" w:rsidRPr="006E3E8A">
        <w:t xml:space="preserve">about a year ago, and that the </w:t>
      </w:r>
      <w:r w:rsidR="00482AE1" w:rsidRPr="006E3E8A">
        <w:t xml:space="preserve">Commission has </w:t>
      </w:r>
      <w:r w:rsidR="0072381A" w:rsidRPr="006E3E8A">
        <w:t xml:space="preserve">since </w:t>
      </w:r>
      <w:r w:rsidR="00522536" w:rsidRPr="006E3E8A">
        <w:t xml:space="preserve">then </w:t>
      </w:r>
      <w:r w:rsidR="00482AE1" w:rsidRPr="006E3E8A">
        <w:t xml:space="preserve">approved the Postal Service’s </w:t>
      </w:r>
      <w:r w:rsidR="00134A82" w:rsidRPr="006E3E8A">
        <w:t xml:space="preserve">petitions </w:t>
      </w:r>
      <w:r w:rsidR="00BD6781" w:rsidRPr="006E3E8A">
        <w:t xml:space="preserve">for proposed changes in analytical principles </w:t>
      </w:r>
      <w:r w:rsidR="00134A82" w:rsidRPr="006E3E8A">
        <w:t xml:space="preserve">concerning Postmaster </w:t>
      </w:r>
      <w:r w:rsidR="002741B4" w:rsidRPr="006E3E8A">
        <w:t>c</w:t>
      </w:r>
      <w:r w:rsidR="00134A82" w:rsidRPr="006E3E8A">
        <w:t xml:space="preserve">ost </w:t>
      </w:r>
      <w:r w:rsidR="002741B4" w:rsidRPr="006E3E8A">
        <w:t>v</w:t>
      </w:r>
      <w:r w:rsidR="00134A82" w:rsidRPr="006E3E8A">
        <w:t xml:space="preserve">ariability </w:t>
      </w:r>
      <w:r w:rsidR="00252306" w:rsidRPr="006E3E8A">
        <w:t xml:space="preserve">and </w:t>
      </w:r>
      <w:r w:rsidR="00134A82" w:rsidRPr="006E3E8A">
        <w:t xml:space="preserve">TRACS </w:t>
      </w:r>
      <w:r w:rsidR="002741B4" w:rsidRPr="006E3E8A">
        <w:t>p</w:t>
      </w:r>
      <w:r w:rsidR="00134A82" w:rsidRPr="006E3E8A">
        <w:t xml:space="preserve">eak </w:t>
      </w:r>
      <w:r w:rsidR="002741B4" w:rsidRPr="006E3E8A">
        <w:t>s</w:t>
      </w:r>
      <w:r w:rsidR="00134A82" w:rsidRPr="006E3E8A">
        <w:t xml:space="preserve">eason </w:t>
      </w:r>
      <w:r w:rsidR="002741B4" w:rsidRPr="006E3E8A">
        <w:t>s</w:t>
      </w:r>
      <w:r w:rsidR="00134A82" w:rsidRPr="006E3E8A">
        <w:t xml:space="preserve">ampling of </w:t>
      </w:r>
      <w:r w:rsidR="002741B4" w:rsidRPr="006E3E8A">
        <w:t>p</w:t>
      </w:r>
      <w:r w:rsidR="00134A82" w:rsidRPr="006E3E8A">
        <w:t xml:space="preserve">urchased </w:t>
      </w:r>
      <w:r w:rsidR="002741B4" w:rsidRPr="006E3E8A">
        <w:t>h</w:t>
      </w:r>
      <w:r w:rsidR="00134A82" w:rsidRPr="006E3E8A">
        <w:t xml:space="preserve">ighway </w:t>
      </w:r>
      <w:r w:rsidR="002741B4" w:rsidRPr="006E3E8A">
        <w:t>t</w:t>
      </w:r>
      <w:r w:rsidR="00134A82" w:rsidRPr="006E3E8A">
        <w:t xml:space="preserve">ransportation </w:t>
      </w:r>
      <w:r w:rsidR="002741B4" w:rsidRPr="006E3E8A">
        <w:t>c</w:t>
      </w:r>
      <w:r w:rsidR="00134A82" w:rsidRPr="006E3E8A">
        <w:t>osts,</w:t>
      </w:r>
      <w:r w:rsidR="00134A82" w:rsidRPr="006E3E8A">
        <w:rPr>
          <w:vertAlign w:val="superscript"/>
        </w:rPr>
        <w:footnoteReference w:id="22"/>
      </w:r>
      <w:r w:rsidR="00134A82" w:rsidRPr="006E3E8A">
        <w:t xml:space="preserve"> </w:t>
      </w:r>
      <w:r w:rsidR="00522536" w:rsidRPr="006E3E8A">
        <w:t>t</w:t>
      </w:r>
      <w:r w:rsidR="0095044B" w:rsidRPr="006E3E8A">
        <w:t xml:space="preserve">he Commission </w:t>
      </w:r>
      <w:r w:rsidR="00600AF8" w:rsidRPr="006E3E8A">
        <w:t>orders</w:t>
      </w:r>
      <w:r w:rsidR="0095044B" w:rsidRPr="006E3E8A">
        <w:t xml:space="preserve"> the Postal Service to </w:t>
      </w:r>
      <w:r w:rsidR="007E0F51" w:rsidRPr="006E3E8A">
        <w:t xml:space="preserve">file no later than </w:t>
      </w:r>
      <w:r w:rsidR="00862FF2" w:rsidRPr="006E3E8A">
        <w:t>June 16</w:t>
      </w:r>
      <w:r w:rsidR="007E0F51" w:rsidRPr="006E3E8A">
        <w:t>, 2023</w:t>
      </w:r>
      <w:r w:rsidR="0095044B" w:rsidRPr="006E3E8A">
        <w:t xml:space="preserve"> an update of developments and progress since the Postal Service Reply Comments were submitted</w:t>
      </w:r>
      <w:r w:rsidR="001A7EE7" w:rsidRPr="006E3E8A">
        <w:t xml:space="preserve"> on April </w:t>
      </w:r>
      <w:r w:rsidR="00A16F7D" w:rsidRPr="006E3E8A">
        <w:t>29, 2022</w:t>
      </w:r>
      <w:r w:rsidR="0095044B" w:rsidRPr="006E3E8A">
        <w:t>.</w:t>
      </w:r>
      <w:r w:rsidR="00A16F7D" w:rsidRPr="006E3E8A">
        <w:t xml:space="preserve">  In its update, the Postal Service sh</w:t>
      </w:r>
      <w:r w:rsidR="00600AF8" w:rsidRPr="006E3E8A">
        <w:t>al</w:t>
      </w:r>
      <w:r w:rsidR="00A16F7D" w:rsidRPr="006E3E8A">
        <w:t xml:space="preserve">l </w:t>
      </w:r>
      <w:r w:rsidR="00C907F9" w:rsidRPr="006E3E8A">
        <w:t xml:space="preserve">describe </w:t>
      </w:r>
      <w:r w:rsidR="00D17B24" w:rsidRPr="006E3E8A">
        <w:t xml:space="preserve">progress it has made </w:t>
      </w:r>
      <w:r w:rsidR="00455F35" w:rsidRPr="006E3E8A">
        <w:t>on each</w:t>
      </w:r>
      <w:r w:rsidR="00811C81" w:rsidRPr="006E3E8A">
        <w:t xml:space="preserve"> of </w:t>
      </w:r>
      <w:r w:rsidR="00455F35" w:rsidRPr="006E3E8A">
        <w:t xml:space="preserve">the </w:t>
      </w:r>
      <w:r w:rsidR="00811C81" w:rsidRPr="006E3E8A">
        <w:t xml:space="preserve">research topics </w:t>
      </w:r>
      <w:r w:rsidR="00455F35" w:rsidRPr="006E3E8A">
        <w:t>listed in its initial comments</w:t>
      </w:r>
      <w:r w:rsidR="00F80F5A" w:rsidRPr="006E3E8A">
        <w:t>,</w:t>
      </w:r>
      <w:r w:rsidR="007E1F78" w:rsidRPr="006E3E8A">
        <w:rPr>
          <w:rStyle w:val="FootnoteReference"/>
        </w:rPr>
        <w:footnoteReference w:id="23"/>
      </w:r>
      <w:r w:rsidR="0078594E" w:rsidRPr="006E3E8A">
        <w:t xml:space="preserve"> identify and describe any new </w:t>
      </w:r>
      <w:r w:rsidR="00E43A38" w:rsidRPr="006E3E8A">
        <w:t xml:space="preserve">research topics it </w:t>
      </w:r>
      <w:r w:rsidR="00030635" w:rsidRPr="006E3E8A">
        <w:t xml:space="preserve">proposes to </w:t>
      </w:r>
      <w:r w:rsidR="00377A3E" w:rsidRPr="006E3E8A">
        <w:t>include in this docket</w:t>
      </w:r>
      <w:r w:rsidR="00CD6BDB" w:rsidRPr="006E3E8A">
        <w:t>,</w:t>
      </w:r>
      <w:r w:rsidR="00B17AFF" w:rsidRPr="006E3E8A">
        <w:t xml:space="preserve"> describe </w:t>
      </w:r>
      <w:r w:rsidR="00F25EC6" w:rsidRPr="006E3E8A">
        <w:t xml:space="preserve">the tentative </w:t>
      </w:r>
      <w:r w:rsidR="004F1F71" w:rsidRPr="006E3E8A">
        <w:t xml:space="preserve">schedule and action plan for </w:t>
      </w:r>
      <w:r w:rsidR="00037F27" w:rsidRPr="006E3E8A">
        <w:t xml:space="preserve">each </w:t>
      </w:r>
      <w:r w:rsidR="00B026F6" w:rsidRPr="006E3E8A">
        <w:t xml:space="preserve">research topic, and include any other information </w:t>
      </w:r>
      <w:r w:rsidR="009F7E98" w:rsidRPr="006E3E8A">
        <w:t xml:space="preserve">it </w:t>
      </w:r>
      <w:r w:rsidR="00602DA6" w:rsidRPr="006E3E8A">
        <w:t>propos</w:t>
      </w:r>
      <w:r w:rsidR="00EF5721" w:rsidRPr="006E3E8A">
        <w:t xml:space="preserve">es for the Commission’s consideration. </w:t>
      </w:r>
      <w:r w:rsidR="00784EB7" w:rsidRPr="006E3E8A">
        <w:t>After reviewing the Postal Service’s update, the Commission intends to provide f</w:t>
      </w:r>
      <w:r w:rsidR="009622A4" w:rsidRPr="006E3E8A">
        <w:t>uture procedural guidance</w:t>
      </w:r>
      <w:r w:rsidR="00645F02" w:rsidRPr="006E3E8A">
        <w:t xml:space="preserve"> and opportunities for </w:t>
      </w:r>
      <w:r w:rsidR="00784EB7" w:rsidRPr="006E3E8A">
        <w:t>interested persons</w:t>
      </w:r>
      <w:r w:rsidR="00645F02" w:rsidRPr="006E3E8A">
        <w:t xml:space="preserve"> </w:t>
      </w:r>
      <w:r w:rsidR="00784EB7" w:rsidRPr="006E3E8A">
        <w:t>to participate in this docket</w:t>
      </w:r>
      <w:r w:rsidR="00B31490" w:rsidRPr="006E3E8A">
        <w:t>, which may include additional period(s) for public comment and/or technical conference(s)</w:t>
      </w:r>
      <w:r w:rsidR="00AD4C4E" w:rsidRPr="006E3E8A">
        <w:t xml:space="preserve"> concerning </w:t>
      </w:r>
      <w:r w:rsidR="00167152" w:rsidRPr="006E3E8A">
        <w:t>particular research topic(s).</w:t>
      </w:r>
    </w:p>
    <w:p w14:paraId="32F32849" w14:textId="56261719" w:rsidR="00EE730F" w:rsidRPr="006E3E8A" w:rsidRDefault="00EE730F" w:rsidP="00D86800">
      <w:pPr>
        <w:pStyle w:val="Heading1"/>
      </w:pPr>
      <w:r w:rsidRPr="006E3E8A">
        <w:lastRenderedPageBreak/>
        <w:t>ORDERING PARAGRAPHS</w:t>
      </w:r>
    </w:p>
    <w:p w14:paraId="355D3A15" w14:textId="77777777" w:rsidR="00242591" w:rsidRPr="006E3E8A" w:rsidRDefault="00242591" w:rsidP="00CA27EB">
      <w:pPr>
        <w:pStyle w:val="NormalLeft"/>
        <w:spacing w:before="240" w:after="240"/>
        <w:rPr>
          <w:i/>
        </w:rPr>
      </w:pPr>
      <w:r w:rsidRPr="006E3E8A">
        <w:rPr>
          <w:i/>
        </w:rPr>
        <w:t>It is ordered:</w:t>
      </w:r>
    </w:p>
    <w:p w14:paraId="548A0EFF" w14:textId="59DD7FC2" w:rsidR="00242591" w:rsidRPr="006E3E8A" w:rsidRDefault="00602DA6" w:rsidP="00242591">
      <w:pPr>
        <w:pStyle w:val="OrderPara"/>
      </w:pPr>
      <w:r w:rsidRPr="006E3E8A">
        <w:t>The Postal Service sh</w:t>
      </w:r>
      <w:r w:rsidR="00AE4698" w:rsidRPr="006E3E8A">
        <w:t>all</w:t>
      </w:r>
      <w:r w:rsidRPr="006E3E8A">
        <w:t xml:space="preserve"> submit a</w:t>
      </w:r>
      <w:r w:rsidR="00B275B8" w:rsidRPr="006E3E8A">
        <w:t xml:space="preserve"> </w:t>
      </w:r>
      <w:r w:rsidR="003525C9" w:rsidRPr="006E3E8A">
        <w:t>progress update</w:t>
      </w:r>
      <w:r w:rsidR="00425C63" w:rsidRPr="006E3E8A">
        <w:t>, as des</w:t>
      </w:r>
      <w:r w:rsidR="00852771" w:rsidRPr="006E3E8A">
        <w:t xml:space="preserve">cribed in the body of this Order, </w:t>
      </w:r>
      <w:r w:rsidR="00943790" w:rsidRPr="006E3E8A">
        <w:t>by</w:t>
      </w:r>
      <w:r w:rsidR="00B275B8" w:rsidRPr="006E3E8A">
        <w:t xml:space="preserve"> </w:t>
      </w:r>
      <w:r w:rsidR="00774D7A" w:rsidRPr="006E3E8A">
        <w:t>June 16</w:t>
      </w:r>
      <w:r w:rsidR="00B275B8" w:rsidRPr="006E3E8A">
        <w:t>, 202</w:t>
      </w:r>
      <w:r w:rsidR="003525C9" w:rsidRPr="006E3E8A">
        <w:t>3</w:t>
      </w:r>
      <w:r w:rsidR="00D85417" w:rsidRPr="006E3E8A">
        <w:t>.</w:t>
      </w:r>
    </w:p>
    <w:p w14:paraId="4F6E1E88" w14:textId="1CA3581E" w:rsidR="00242591" w:rsidRPr="006E3E8A" w:rsidRDefault="000A2746" w:rsidP="00242591">
      <w:pPr>
        <w:pStyle w:val="OrderPara"/>
      </w:pPr>
      <w:r w:rsidRPr="006E3E8A">
        <w:t xml:space="preserve">The </w:t>
      </w:r>
      <w:r w:rsidR="00B275B8" w:rsidRPr="006E3E8A">
        <w:t>Motion for Leave to Reply of the Association for Postal Commerce to United States Postal Service Reply Comment</w:t>
      </w:r>
      <w:r w:rsidR="003525C9" w:rsidRPr="006E3E8A">
        <w:t>s</w:t>
      </w:r>
      <w:r w:rsidR="00B275B8" w:rsidRPr="006E3E8A">
        <w:t xml:space="preserve">, </w:t>
      </w:r>
      <w:r w:rsidR="00D85417" w:rsidRPr="006E3E8A">
        <w:t xml:space="preserve">filed </w:t>
      </w:r>
      <w:r w:rsidR="00B275B8" w:rsidRPr="006E3E8A">
        <w:t>May 10, 2022</w:t>
      </w:r>
      <w:r w:rsidR="00D85417" w:rsidRPr="006E3E8A">
        <w:t>, is denied.</w:t>
      </w:r>
    </w:p>
    <w:p w14:paraId="7396FC40" w14:textId="77777777" w:rsidR="008A08DE" w:rsidRPr="006E3E8A" w:rsidRDefault="00242591" w:rsidP="008A08DE">
      <w:pPr>
        <w:spacing w:line="240" w:lineRule="auto"/>
        <w:ind w:firstLine="0"/>
      </w:pPr>
      <w:r w:rsidRPr="006E3E8A">
        <w:t>By the Commission.</w:t>
      </w:r>
    </w:p>
    <w:p w14:paraId="0258167E" w14:textId="1B1A5667" w:rsidR="008A08DE" w:rsidRPr="006E3E8A" w:rsidRDefault="008A08DE" w:rsidP="008A08DE">
      <w:pPr>
        <w:spacing w:line="240" w:lineRule="auto"/>
        <w:ind w:firstLine="0"/>
      </w:pPr>
    </w:p>
    <w:p w14:paraId="5C716623" w14:textId="40D454BD" w:rsidR="007B7B47" w:rsidRPr="006E3E8A" w:rsidRDefault="007B7B47" w:rsidP="008A08DE">
      <w:pPr>
        <w:spacing w:line="240" w:lineRule="auto"/>
        <w:ind w:firstLine="0"/>
      </w:pPr>
    </w:p>
    <w:p w14:paraId="2CC39C58" w14:textId="77777777" w:rsidR="007B7B47" w:rsidRPr="006E3E8A" w:rsidRDefault="007B7B47" w:rsidP="008A08DE">
      <w:pPr>
        <w:spacing w:line="240" w:lineRule="auto"/>
        <w:ind w:firstLine="0"/>
      </w:pPr>
    </w:p>
    <w:p w14:paraId="0863A157" w14:textId="77777777" w:rsidR="00242591" w:rsidRPr="006E3E8A" w:rsidRDefault="00DD368B" w:rsidP="00B52189">
      <w:pPr>
        <w:spacing w:line="240" w:lineRule="auto"/>
        <w:ind w:left="5040" w:firstLine="0"/>
      </w:pPr>
      <w:r w:rsidRPr="006E3E8A">
        <w:t>Erica A. Barker</w:t>
      </w:r>
      <w:r w:rsidR="00B52189" w:rsidRPr="006E3E8A">
        <w:br/>
        <w:t>Secretary</w:t>
      </w:r>
    </w:p>
    <w:sectPr w:rsidR="00242591" w:rsidRPr="006E3E8A" w:rsidSect="00242591">
      <w:headerReference w:type="default" r:id="rId8"/>
      <w:footnotePr>
        <w:numRestart w:val="eachSect"/>
      </w:footnotePr>
      <w:pgSz w:w="12240" w:h="15840" w:code="1"/>
      <w:pgMar w:top="1440" w:right="1440" w:bottom="1440" w:left="1440" w:header="144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5DFB8" w14:textId="77777777" w:rsidR="003D25A9" w:rsidRDefault="003D25A9">
      <w:pPr>
        <w:spacing w:line="240" w:lineRule="auto"/>
      </w:pPr>
      <w:r>
        <w:separator/>
      </w:r>
    </w:p>
  </w:endnote>
  <w:endnote w:type="continuationSeparator" w:id="0">
    <w:p w14:paraId="11C30309" w14:textId="77777777" w:rsidR="003D25A9" w:rsidRDefault="003D25A9">
      <w:pPr>
        <w:spacing w:line="240" w:lineRule="auto"/>
      </w:pPr>
      <w:r>
        <w:continuationSeparator/>
      </w:r>
    </w:p>
  </w:endnote>
  <w:endnote w:type="continuationNotice" w:id="1">
    <w:p w14:paraId="2D298A84" w14:textId="77777777" w:rsidR="003D25A9" w:rsidRDefault="003D25A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A6AC0" w14:textId="77777777" w:rsidR="003D25A9" w:rsidRDefault="003D25A9" w:rsidP="00242591">
      <w:pPr>
        <w:spacing w:after="120" w:line="240" w:lineRule="auto"/>
        <w:ind w:firstLine="0"/>
      </w:pPr>
      <w:r>
        <w:separator/>
      </w:r>
    </w:p>
  </w:footnote>
  <w:footnote w:type="continuationSeparator" w:id="0">
    <w:p w14:paraId="42C94C6D" w14:textId="77777777" w:rsidR="003D25A9" w:rsidRDefault="003D25A9" w:rsidP="00242591">
      <w:pPr>
        <w:spacing w:line="240" w:lineRule="auto"/>
        <w:ind w:firstLine="0"/>
      </w:pPr>
      <w:r>
        <w:separator/>
      </w:r>
    </w:p>
  </w:footnote>
  <w:footnote w:type="continuationNotice" w:id="1">
    <w:p w14:paraId="0A927C99" w14:textId="77777777" w:rsidR="003D25A9" w:rsidRDefault="003D25A9">
      <w:pPr>
        <w:spacing w:line="240" w:lineRule="auto"/>
      </w:pPr>
    </w:p>
  </w:footnote>
  <w:footnote w:id="2">
    <w:p w14:paraId="546C4E7E" w14:textId="797AFFC1" w:rsidR="00AB7CCF" w:rsidRPr="00637E20" w:rsidRDefault="00AB7CCF">
      <w:pPr>
        <w:pStyle w:val="FootnoteText"/>
      </w:pPr>
      <w:r w:rsidRPr="00637E20">
        <w:rPr>
          <w:rStyle w:val="FootnoteReference"/>
        </w:rPr>
        <w:footnoteRef/>
      </w:r>
      <w:r w:rsidRPr="00637E20">
        <w:t xml:space="preserve"> Notice and Order of Proposed Rulemaking on Periodic Reporting, October 8, 2021</w:t>
      </w:r>
      <w:r w:rsidR="009A7DBD" w:rsidRPr="00637E20">
        <w:t>, at 1</w:t>
      </w:r>
      <w:r w:rsidRPr="00637E20">
        <w:t xml:space="preserve"> (Order No. 6004).</w:t>
      </w:r>
    </w:p>
  </w:footnote>
  <w:footnote w:id="3">
    <w:p w14:paraId="5A0C1668" w14:textId="77777777" w:rsidR="0049155A" w:rsidRPr="00637E20" w:rsidRDefault="0049155A">
      <w:pPr>
        <w:pStyle w:val="FootnoteText"/>
      </w:pPr>
      <w:r w:rsidRPr="00637E20">
        <w:rPr>
          <w:rStyle w:val="FootnoteReference"/>
        </w:rPr>
        <w:footnoteRef/>
      </w:r>
      <w:r w:rsidRPr="00637E20">
        <w:t xml:space="preserve"> Motion of United Parcel Service, Inc. for Issuance of Information Request to the United States Postal Service, March 10, 2022 (UPS Motion).</w:t>
      </w:r>
    </w:p>
  </w:footnote>
  <w:footnote w:id="4">
    <w:p w14:paraId="1CC47D6F" w14:textId="77777777" w:rsidR="00790BEE" w:rsidRPr="00637E20" w:rsidRDefault="00790BEE">
      <w:pPr>
        <w:pStyle w:val="FootnoteText"/>
      </w:pPr>
      <w:r w:rsidRPr="00637E20">
        <w:rPr>
          <w:rStyle w:val="FootnoteReference"/>
        </w:rPr>
        <w:footnoteRef/>
      </w:r>
      <w:r w:rsidRPr="00637E20">
        <w:t xml:space="preserve"> Response of the United States Postal Service in Opposition to UPS Motion for Issuance of an Information Request, March 10, 2022.</w:t>
      </w:r>
    </w:p>
  </w:footnote>
  <w:footnote w:id="5">
    <w:p w14:paraId="390CC326" w14:textId="77777777" w:rsidR="0070047B" w:rsidRPr="00637E20" w:rsidRDefault="0070047B">
      <w:pPr>
        <w:pStyle w:val="FootnoteText"/>
      </w:pPr>
      <w:r w:rsidRPr="00637E20">
        <w:rPr>
          <w:rStyle w:val="FootnoteReference"/>
        </w:rPr>
        <w:footnoteRef/>
      </w:r>
      <w:r w:rsidRPr="00637E20">
        <w:t xml:space="preserve"> Order Denying Motion and Establishing Deadline for Reply Comments, March 11, 2022</w:t>
      </w:r>
      <w:r w:rsidR="008433CA" w:rsidRPr="00637E20">
        <w:t>, at 2</w:t>
      </w:r>
      <w:r w:rsidRPr="00637E20">
        <w:t xml:space="preserve"> (Order No. 6120).</w:t>
      </w:r>
    </w:p>
  </w:footnote>
  <w:footnote w:id="6">
    <w:p w14:paraId="39A748A5" w14:textId="77777777" w:rsidR="005F4CCA" w:rsidRPr="00637E20" w:rsidRDefault="005F4CCA" w:rsidP="005F4CCA">
      <w:pPr>
        <w:pStyle w:val="FootnoteText"/>
      </w:pPr>
      <w:r w:rsidRPr="00637E20">
        <w:rPr>
          <w:rStyle w:val="FootnoteReference"/>
        </w:rPr>
        <w:footnoteRef/>
      </w:r>
      <w:r w:rsidRPr="00637E20">
        <w:t xml:space="preserve"> Initial Comments of the United States Postal Service, March 25, 2022 (Postal Service Initial Comments).</w:t>
      </w:r>
    </w:p>
  </w:footnote>
  <w:footnote w:id="7">
    <w:p w14:paraId="619AB27D" w14:textId="77777777" w:rsidR="005F4CCA" w:rsidRPr="00637E20" w:rsidRDefault="005F4CCA" w:rsidP="005F4CCA">
      <w:pPr>
        <w:pStyle w:val="FootnoteText"/>
      </w:pPr>
      <w:r w:rsidRPr="00637E20">
        <w:rPr>
          <w:rStyle w:val="FootnoteReference"/>
        </w:rPr>
        <w:footnoteRef/>
      </w:r>
      <w:r w:rsidRPr="00637E20">
        <w:t xml:space="preserve"> Initial Comments of United Parcel Service, Inc. </w:t>
      </w:r>
      <w:r w:rsidR="0049155A" w:rsidRPr="00637E20">
        <w:t>o</w:t>
      </w:r>
      <w:r w:rsidRPr="00637E20">
        <w:t>n Notice and Order of Proposed Rulemaking on Periodic Reporting, March 25, 2022 (UPS Initial Comments).</w:t>
      </w:r>
    </w:p>
  </w:footnote>
  <w:footnote w:id="8">
    <w:p w14:paraId="06BE495E" w14:textId="77777777" w:rsidR="005F4CCA" w:rsidRPr="00637E20" w:rsidRDefault="005F4CCA" w:rsidP="005F4CCA">
      <w:pPr>
        <w:pStyle w:val="FootnoteText"/>
      </w:pPr>
      <w:r w:rsidRPr="00637E20">
        <w:rPr>
          <w:rStyle w:val="FootnoteReference"/>
        </w:rPr>
        <w:footnoteRef/>
      </w:r>
      <w:r w:rsidRPr="00637E20">
        <w:t xml:space="preserve"> Comments of the National Postal Policy Council, March 25, 2022 (NPPC Initial Comments).</w:t>
      </w:r>
    </w:p>
  </w:footnote>
  <w:footnote w:id="9">
    <w:p w14:paraId="4D115A76" w14:textId="77777777" w:rsidR="005F4CCA" w:rsidRPr="00637E20" w:rsidRDefault="005F4CCA" w:rsidP="005F4CCA">
      <w:pPr>
        <w:pStyle w:val="FootnoteText"/>
      </w:pPr>
      <w:r w:rsidRPr="00637E20">
        <w:rPr>
          <w:rStyle w:val="FootnoteReference"/>
        </w:rPr>
        <w:footnoteRef/>
      </w:r>
      <w:r w:rsidRPr="00637E20">
        <w:t xml:space="preserve"> Initial Comments of the Association for Postal Commerce, March 25, 2022 (PostCom Initial Comments).</w:t>
      </w:r>
    </w:p>
  </w:footnote>
  <w:footnote w:id="10">
    <w:p w14:paraId="2DC84D5D" w14:textId="77777777" w:rsidR="005F4CCA" w:rsidRPr="00637E20" w:rsidRDefault="005F4CCA" w:rsidP="005F4CCA">
      <w:pPr>
        <w:pStyle w:val="FootnoteText"/>
      </w:pPr>
      <w:r w:rsidRPr="00637E20">
        <w:rPr>
          <w:rStyle w:val="FootnoteReference"/>
        </w:rPr>
        <w:footnoteRef/>
      </w:r>
      <w:r w:rsidRPr="00637E20">
        <w:t xml:space="preserve"> Public Representative Comments on Proposed Rulemaking on Periodic Reporting, March 25, 2022 (PR Initial Comments).</w:t>
      </w:r>
    </w:p>
  </w:footnote>
  <w:footnote w:id="11">
    <w:p w14:paraId="2FA846CA" w14:textId="31D79A26" w:rsidR="00174B4F" w:rsidRPr="00637E20" w:rsidRDefault="00174B4F">
      <w:pPr>
        <w:pStyle w:val="FootnoteText"/>
      </w:pPr>
      <w:r w:rsidRPr="00637E20">
        <w:rPr>
          <w:rStyle w:val="FootnoteReference"/>
        </w:rPr>
        <w:footnoteRef/>
      </w:r>
      <w:r w:rsidRPr="00637E20">
        <w:t xml:space="preserve"> Docket No. RM2022-8, Petition of the United States Postal Service for the Initiation of a Proceeding to Consider Proposed Changes in Analytical Principles (Proposal Two), July 7, 2022.</w:t>
      </w:r>
    </w:p>
  </w:footnote>
  <w:footnote w:id="12">
    <w:p w14:paraId="784CC338" w14:textId="18C50C88" w:rsidR="005F4CCA" w:rsidRPr="00637E20" w:rsidRDefault="005F4CCA" w:rsidP="005F4CCA">
      <w:pPr>
        <w:pStyle w:val="FootnoteText"/>
      </w:pPr>
      <w:r w:rsidRPr="00637E20">
        <w:rPr>
          <w:rStyle w:val="FootnoteReference"/>
        </w:rPr>
        <w:footnoteRef/>
      </w:r>
      <w:r w:rsidRPr="00637E20">
        <w:t xml:space="preserve"> </w:t>
      </w:r>
      <w:r w:rsidR="001B76AB" w:rsidRPr="00637E20">
        <w:t>Docket No. RM2022-8, Order on Analytical Principles Used in Periodic Reporting (Proposal Two), September 23, 2022</w:t>
      </w:r>
      <w:r w:rsidR="00F17D02" w:rsidRPr="00637E20">
        <w:t xml:space="preserve"> (Order No. </w:t>
      </w:r>
      <w:r w:rsidR="00776C4D" w:rsidRPr="00637E20">
        <w:t>6280)</w:t>
      </w:r>
      <w:r w:rsidR="001B76AB" w:rsidRPr="00637E20">
        <w:t>.</w:t>
      </w:r>
    </w:p>
  </w:footnote>
  <w:footnote w:id="13">
    <w:p w14:paraId="373E5D7B" w14:textId="17E3C299" w:rsidR="00D55E31" w:rsidRPr="00637E20" w:rsidRDefault="00D55E31">
      <w:pPr>
        <w:pStyle w:val="FootnoteText"/>
      </w:pPr>
      <w:r w:rsidRPr="00637E20">
        <w:rPr>
          <w:rStyle w:val="FootnoteReference"/>
        </w:rPr>
        <w:footnoteRef/>
      </w:r>
      <w:r w:rsidRPr="00637E20">
        <w:t xml:space="preserve"> Docket No. RM2022-13, Petition of the United States Postal Service for the Initiation of a Proceeding to Consider Proposed Changes in Analytical Principles (Proposal Six), August 26, 2022.</w:t>
      </w:r>
    </w:p>
  </w:footnote>
  <w:footnote w:id="14">
    <w:p w14:paraId="33EA44C3" w14:textId="4B8EAB41" w:rsidR="00E142C7" w:rsidRPr="00637E20" w:rsidRDefault="00E142C7">
      <w:pPr>
        <w:pStyle w:val="FootnoteText"/>
      </w:pPr>
      <w:r w:rsidRPr="00637E20">
        <w:rPr>
          <w:rStyle w:val="FootnoteReference"/>
        </w:rPr>
        <w:footnoteRef/>
      </w:r>
      <w:r w:rsidRPr="00637E20">
        <w:t xml:space="preserve"> </w:t>
      </w:r>
      <w:r w:rsidR="001515A8" w:rsidRPr="00637E20">
        <w:t>Docket No. RM2022-13, Order on Analytical Principles Used in Periodic Reporting (Proposal Six), November 3, 2022</w:t>
      </w:r>
      <w:r w:rsidR="00F17D02" w:rsidRPr="00637E20">
        <w:t xml:space="preserve"> (Order No. 6322)</w:t>
      </w:r>
      <w:r w:rsidR="001515A8" w:rsidRPr="00637E20">
        <w:t>.</w:t>
      </w:r>
    </w:p>
  </w:footnote>
  <w:footnote w:id="15">
    <w:p w14:paraId="3D5CCBC6" w14:textId="12E92C94" w:rsidR="00761A97" w:rsidRPr="00637E20" w:rsidRDefault="00761A97" w:rsidP="00761A97">
      <w:pPr>
        <w:pStyle w:val="FootnoteText"/>
      </w:pPr>
      <w:r w:rsidRPr="00637E20">
        <w:rPr>
          <w:rStyle w:val="FootnoteReference"/>
        </w:rPr>
        <w:footnoteRef/>
      </w:r>
      <w:r w:rsidRPr="00637E20">
        <w:t xml:space="preserve"> Reply Comments of the United States Postal Service, April 29, 2022 (</w:t>
      </w:r>
      <w:r w:rsidR="00277CA4" w:rsidRPr="00637E20">
        <w:t>Postal Service</w:t>
      </w:r>
      <w:r w:rsidRPr="00637E20">
        <w:t xml:space="preserve"> Reply Comments).</w:t>
      </w:r>
    </w:p>
  </w:footnote>
  <w:footnote w:id="16">
    <w:p w14:paraId="2C024A17" w14:textId="50C0BEF4" w:rsidR="00761A97" w:rsidRPr="00637E20" w:rsidRDefault="00761A97" w:rsidP="00761A97">
      <w:pPr>
        <w:pStyle w:val="FootnoteText"/>
      </w:pPr>
      <w:r w:rsidRPr="00637E20">
        <w:rPr>
          <w:rStyle w:val="FootnoteReference"/>
        </w:rPr>
        <w:footnoteRef/>
      </w:r>
      <w:r w:rsidRPr="00637E20">
        <w:t xml:space="preserve"> Reply Comments of United Parcel Service, Inc. on Notice and Order of Proposed Rulemaking on Periodic Reporting, April 29, 2022 (UPS Reply Comments).</w:t>
      </w:r>
    </w:p>
  </w:footnote>
  <w:footnote w:id="17">
    <w:p w14:paraId="6EE1220E" w14:textId="77777777" w:rsidR="00761A97" w:rsidRPr="00637E20" w:rsidRDefault="00761A97" w:rsidP="00761A97">
      <w:pPr>
        <w:pStyle w:val="FootnoteText"/>
      </w:pPr>
      <w:r w:rsidRPr="00637E20">
        <w:rPr>
          <w:rStyle w:val="FootnoteReference"/>
        </w:rPr>
        <w:footnoteRef/>
      </w:r>
      <w:r w:rsidRPr="00637E20">
        <w:t xml:space="preserve"> Reply Comments of Pitney Bowes Inc., April 29, 2022 (Pitney Bowes Reply Comments).</w:t>
      </w:r>
    </w:p>
  </w:footnote>
  <w:footnote w:id="18">
    <w:p w14:paraId="4DE45AC9" w14:textId="77777777" w:rsidR="00314CD1" w:rsidRPr="00637E20" w:rsidRDefault="00314CD1">
      <w:pPr>
        <w:pStyle w:val="FootnoteText"/>
      </w:pPr>
      <w:r w:rsidRPr="00637E20">
        <w:rPr>
          <w:rStyle w:val="FootnoteReference"/>
        </w:rPr>
        <w:footnoteRef/>
      </w:r>
      <w:r w:rsidRPr="00637E20">
        <w:t xml:space="preserve"> Motion for Leave to Reply of the Association for Postal Commerce to United States Postal Service Reply Comment</w:t>
      </w:r>
      <w:r w:rsidR="0035172F" w:rsidRPr="00637E20">
        <w:t>s</w:t>
      </w:r>
      <w:r w:rsidRPr="00637E20">
        <w:t>, May 10, 2022 (PostCom Motion).</w:t>
      </w:r>
    </w:p>
  </w:footnote>
  <w:footnote w:id="19">
    <w:p w14:paraId="4C7BB9D8" w14:textId="0D6A73DB" w:rsidR="00314CD1" w:rsidRPr="00637E20" w:rsidRDefault="00314CD1">
      <w:pPr>
        <w:pStyle w:val="FootnoteText"/>
      </w:pPr>
      <w:r w:rsidRPr="00637E20">
        <w:rPr>
          <w:rStyle w:val="FootnoteReference"/>
        </w:rPr>
        <w:footnoteRef/>
      </w:r>
      <w:r w:rsidRPr="00637E20">
        <w:t xml:space="preserve"> Reply of the Association for Postal Commerce to United States Postal Service Reply Comments, May 10, 2022 (PostCom Surreply Comments).</w:t>
      </w:r>
    </w:p>
  </w:footnote>
  <w:footnote w:id="20">
    <w:p w14:paraId="419571BB" w14:textId="0765444F" w:rsidR="00314CD1" w:rsidRPr="00637E20" w:rsidRDefault="00314CD1">
      <w:pPr>
        <w:pStyle w:val="FootnoteText"/>
      </w:pPr>
      <w:r w:rsidRPr="00637E20">
        <w:rPr>
          <w:rStyle w:val="FootnoteReference"/>
        </w:rPr>
        <w:footnoteRef/>
      </w:r>
      <w:r w:rsidRPr="00637E20">
        <w:t xml:space="preserve"> Opposition of the United States Postal Service to PostCom’s Motion for Leave to Respond to the Postal Service’s Reply Comments, May 17, 2022 (Postal Service Opposition).</w:t>
      </w:r>
    </w:p>
  </w:footnote>
  <w:footnote w:id="21">
    <w:p w14:paraId="1D38D9BE" w14:textId="28974988" w:rsidR="009B178F" w:rsidRPr="00637E20" w:rsidRDefault="009B178F">
      <w:pPr>
        <w:pStyle w:val="FootnoteText"/>
      </w:pPr>
      <w:r w:rsidRPr="00637E20">
        <w:rPr>
          <w:rStyle w:val="FootnoteReference"/>
        </w:rPr>
        <w:footnoteRef/>
      </w:r>
      <w:r w:rsidRPr="00637E20">
        <w:t xml:space="preserve"> </w:t>
      </w:r>
      <w:r w:rsidR="00AA22B2" w:rsidRPr="00637E20">
        <w:rPr>
          <w:i/>
          <w:iCs/>
        </w:rPr>
        <w:t>See</w:t>
      </w:r>
      <w:r w:rsidR="00AA22B2" w:rsidRPr="00637E20">
        <w:t xml:space="preserve">, </w:t>
      </w:r>
      <w:r w:rsidR="00AA22B2" w:rsidRPr="00637E20">
        <w:rPr>
          <w:i/>
          <w:iCs/>
        </w:rPr>
        <w:t>e.g.</w:t>
      </w:r>
      <w:r w:rsidR="00AA22B2" w:rsidRPr="00637E20">
        <w:t xml:space="preserve">, </w:t>
      </w:r>
      <w:r w:rsidR="00C856BF" w:rsidRPr="00637E20">
        <w:t>Docket No. MC2021-78, Order Denying Request to Transfer Bound Printed Matter Parcels to the Competitive Product List, February 10, 2022, at 9-10 (Order No. 6105)</w:t>
      </w:r>
      <w:r w:rsidR="00AA22B2" w:rsidRPr="00637E20">
        <w:t xml:space="preserve"> (</w:t>
      </w:r>
      <w:r w:rsidR="00F848BA" w:rsidRPr="00637E20">
        <w:t>finding</w:t>
      </w:r>
      <w:r w:rsidR="00AA22B2" w:rsidRPr="00637E20">
        <w:t xml:space="preserve"> that the significant volume of reply comments and surreply comments</w:t>
      </w:r>
      <w:r w:rsidR="002C5D53" w:rsidRPr="00637E20">
        <w:t>, which were</w:t>
      </w:r>
      <w:r w:rsidR="00AA22B2" w:rsidRPr="00637E20">
        <w:t xml:space="preserve"> not allowed </w:t>
      </w:r>
      <w:r w:rsidR="005806D4" w:rsidRPr="00637E20">
        <w:t>on the original procedural schedule</w:t>
      </w:r>
      <w:r w:rsidR="002C5D53" w:rsidRPr="00637E20">
        <w:t>,</w:t>
      </w:r>
      <w:r w:rsidR="005806D4" w:rsidRPr="00637E20">
        <w:t xml:space="preserve"> did not further develop the factual record and parties’ continued legal arguments and disputes in successive filings did not aid the Commission’s decision-making process, and</w:t>
      </w:r>
      <w:r w:rsidR="0095044B" w:rsidRPr="00637E20">
        <w:t>,</w:t>
      </w:r>
      <w:r w:rsidR="005806D4" w:rsidRPr="00637E20">
        <w:t xml:space="preserve"> thus</w:t>
      </w:r>
      <w:r w:rsidR="0095044B" w:rsidRPr="00637E20">
        <w:t>,</w:t>
      </w:r>
      <w:r w:rsidR="005806D4" w:rsidRPr="00637E20">
        <w:t xml:space="preserve"> </w:t>
      </w:r>
      <w:r w:rsidR="00F848BA" w:rsidRPr="00637E20">
        <w:t>denying</w:t>
      </w:r>
      <w:r w:rsidR="005806D4" w:rsidRPr="00637E20">
        <w:t xml:space="preserve"> parties’ motions to file such reply and surreply comments).</w:t>
      </w:r>
    </w:p>
  </w:footnote>
  <w:footnote w:id="22">
    <w:p w14:paraId="40427C01" w14:textId="6A3D171D" w:rsidR="00134A82" w:rsidRPr="00637E20" w:rsidRDefault="00134A82" w:rsidP="00134A82">
      <w:pPr>
        <w:pStyle w:val="FootnoteText"/>
      </w:pPr>
      <w:r w:rsidRPr="00637E20">
        <w:rPr>
          <w:rStyle w:val="FootnoteReference"/>
        </w:rPr>
        <w:footnoteRef/>
      </w:r>
      <w:r w:rsidRPr="00637E20">
        <w:t xml:space="preserve"> </w:t>
      </w:r>
      <w:r w:rsidR="00252306" w:rsidRPr="00637E20">
        <w:rPr>
          <w:i/>
          <w:iCs/>
        </w:rPr>
        <w:t>See</w:t>
      </w:r>
      <w:r w:rsidR="00252306" w:rsidRPr="00637E20">
        <w:t xml:space="preserve"> Order </w:t>
      </w:r>
      <w:r w:rsidR="007F3065" w:rsidRPr="00637E20">
        <w:t>No. 6280</w:t>
      </w:r>
      <w:r w:rsidR="00522536" w:rsidRPr="00637E20">
        <w:t>;</w:t>
      </w:r>
      <w:r w:rsidR="007F3065" w:rsidRPr="00637E20">
        <w:t xml:space="preserve"> Order No. 6322.</w:t>
      </w:r>
    </w:p>
  </w:footnote>
  <w:footnote w:id="23">
    <w:p w14:paraId="2CB8048C" w14:textId="001ED3A4" w:rsidR="007E1F78" w:rsidRPr="00637E20" w:rsidRDefault="007E1F78">
      <w:pPr>
        <w:pStyle w:val="FootnoteText"/>
      </w:pPr>
      <w:r w:rsidRPr="00637E20">
        <w:rPr>
          <w:rStyle w:val="FootnoteReference"/>
        </w:rPr>
        <w:footnoteRef/>
      </w:r>
      <w:r w:rsidRPr="00637E20">
        <w:t xml:space="preserve"> </w:t>
      </w:r>
      <w:r w:rsidRPr="00637E20">
        <w:rPr>
          <w:i/>
          <w:iCs/>
        </w:rPr>
        <w:t>See</w:t>
      </w:r>
      <w:r w:rsidRPr="00637E20">
        <w:t xml:space="preserve"> </w:t>
      </w:r>
      <w:r w:rsidR="00277CA4" w:rsidRPr="00637E20">
        <w:t>Postal Service</w:t>
      </w:r>
      <w:r w:rsidRPr="00637E20">
        <w:t xml:space="preserve"> Initial Comments at 38.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93563" w14:textId="522D324B" w:rsidR="00587BEA" w:rsidRDefault="00951975" w:rsidP="00587BEA">
    <w:pPr>
      <w:pStyle w:val="Header"/>
      <w:tabs>
        <w:tab w:val="clear" w:pos="4608"/>
      </w:tabs>
    </w:pPr>
    <w:r>
      <w:t>Docket No. RM2022-1</w:t>
    </w:r>
    <w:r w:rsidR="00587BEA">
      <w:tab/>
    </w:r>
    <w:r w:rsidR="00587BEA">
      <w:tab/>
    </w:r>
    <w:r w:rsidR="00587BEA">
      <w:tab/>
    </w:r>
    <w:r w:rsidR="00587BEA">
      <w:tab/>
      <w:t xml:space="preserve">- </w:t>
    </w:r>
    <w:r w:rsidR="00587BEA">
      <w:fldChar w:fldCharType="begin"/>
    </w:r>
    <w:r w:rsidR="00587BEA">
      <w:instrText xml:space="preserve"> PAGE   \* MERGEFORMAT </w:instrText>
    </w:r>
    <w:r w:rsidR="00587BEA">
      <w:fldChar w:fldCharType="separate"/>
    </w:r>
    <w:r w:rsidR="00E81A69">
      <w:rPr>
        <w:noProof/>
      </w:rPr>
      <w:t>2</w:t>
    </w:r>
    <w:r w:rsidR="00587BEA">
      <w:rPr>
        <w:noProof/>
      </w:rPr>
      <w:fldChar w:fldCharType="end"/>
    </w:r>
    <w:r w:rsidR="00587BEA">
      <w:rPr>
        <w:noProof/>
      </w:rPr>
      <w:t xml:space="preserve"> -</w:t>
    </w:r>
    <w:r w:rsidR="00587BEA">
      <w:rPr>
        <w:noProof/>
      </w:rPr>
      <w:tab/>
    </w:r>
    <w:r w:rsidR="00587BEA">
      <w:rPr>
        <w:noProof/>
      </w:rPr>
      <w:tab/>
    </w:r>
    <w:r w:rsidR="00587BEA">
      <w:rPr>
        <w:noProof/>
      </w:rPr>
      <w:tab/>
    </w:r>
    <w:r w:rsidR="00587BEA">
      <w:rPr>
        <w:noProof/>
      </w:rPr>
      <w:tab/>
    </w:r>
    <w:r w:rsidR="00587BEA">
      <w:rPr>
        <w:noProof/>
      </w:rPr>
      <w:tab/>
    </w:r>
    <w:r>
      <w:rPr>
        <w:noProof/>
      </w:rPr>
      <w:t xml:space="preserve">Order No. </w:t>
    </w:r>
    <w:r w:rsidR="00774891">
      <w:rPr>
        <w:noProof/>
      </w:rPr>
      <w:t>6501</w:t>
    </w:r>
  </w:p>
  <w:p w14:paraId="1E01F0E2" w14:textId="77777777" w:rsidR="00AC3EBC" w:rsidRDefault="00AC3EBC" w:rsidP="00242591">
    <w:pPr>
      <w:pStyle w:val="Header"/>
    </w:pPr>
  </w:p>
  <w:p w14:paraId="4B82C061" w14:textId="77777777" w:rsidR="00587BEA" w:rsidRDefault="00587BEA" w:rsidP="00242591">
    <w:pPr>
      <w:pStyle w:val="Header"/>
    </w:pPr>
  </w:p>
  <w:p w14:paraId="721B1E81" w14:textId="77777777" w:rsidR="00587BEA" w:rsidRPr="00924CC8" w:rsidRDefault="00587BEA" w:rsidP="002425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266F0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A983C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39458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658D8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8D8FB8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5C8ED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DBAF9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B4A1E6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870F2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BAEF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66A09"/>
    <w:multiLevelType w:val="hybridMultilevel"/>
    <w:tmpl w:val="65FA9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2E5854"/>
    <w:multiLevelType w:val="hybridMultilevel"/>
    <w:tmpl w:val="A0FC5C1C"/>
    <w:lvl w:ilvl="0" w:tplc="6A8A95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036727D0"/>
    <w:multiLevelType w:val="hybridMultilevel"/>
    <w:tmpl w:val="3216C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3D515D"/>
    <w:multiLevelType w:val="hybridMultilevel"/>
    <w:tmpl w:val="0DC23E9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0390012"/>
    <w:multiLevelType w:val="hybridMultilevel"/>
    <w:tmpl w:val="C9BEFC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64F1CBD"/>
    <w:multiLevelType w:val="hybridMultilevel"/>
    <w:tmpl w:val="1F0E9C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11B32E6"/>
    <w:multiLevelType w:val="hybridMultilevel"/>
    <w:tmpl w:val="C6B0CA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26C4F8A"/>
    <w:multiLevelType w:val="hybridMultilevel"/>
    <w:tmpl w:val="7B226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C93D70"/>
    <w:multiLevelType w:val="hybridMultilevel"/>
    <w:tmpl w:val="D812A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7733D8"/>
    <w:multiLevelType w:val="hybridMultilevel"/>
    <w:tmpl w:val="8EB2C1B0"/>
    <w:lvl w:ilvl="0" w:tplc="F39C65C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9295343"/>
    <w:multiLevelType w:val="hybridMultilevel"/>
    <w:tmpl w:val="FE6C4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E93000"/>
    <w:multiLevelType w:val="hybridMultilevel"/>
    <w:tmpl w:val="FA6A5AD6"/>
    <w:lvl w:ilvl="0" w:tplc="03F666A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473553E"/>
    <w:multiLevelType w:val="hybridMultilevel"/>
    <w:tmpl w:val="FC420A6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8A2674D"/>
    <w:multiLevelType w:val="hybridMultilevel"/>
    <w:tmpl w:val="F3F48E04"/>
    <w:lvl w:ilvl="0" w:tplc="D31A2E70">
      <w:start w:val="1"/>
      <w:numFmt w:val="upperLetter"/>
      <w:lvlText w:val="%1."/>
      <w:lvlJc w:val="left"/>
      <w:pPr>
        <w:ind w:left="63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5D3F42"/>
    <w:multiLevelType w:val="hybridMultilevel"/>
    <w:tmpl w:val="72E40370"/>
    <w:lvl w:ilvl="0" w:tplc="18E21D46">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43B51F1"/>
    <w:multiLevelType w:val="hybridMultilevel"/>
    <w:tmpl w:val="15C45C4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B6359AB"/>
    <w:multiLevelType w:val="hybridMultilevel"/>
    <w:tmpl w:val="E7182D64"/>
    <w:lvl w:ilvl="0" w:tplc="A768D730">
      <w:start w:val="1"/>
      <w:numFmt w:val="decimal"/>
      <w:pStyle w:val="OrderPara"/>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C11660C"/>
    <w:multiLevelType w:val="hybridMultilevel"/>
    <w:tmpl w:val="D812A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A15EB0"/>
    <w:multiLevelType w:val="hybridMultilevel"/>
    <w:tmpl w:val="A978F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ED61DF"/>
    <w:multiLevelType w:val="multilevel"/>
    <w:tmpl w:val="02F02ADE"/>
    <w:lvl w:ilvl="0">
      <w:start w:val="1"/>
      <w:numFmt w:val="upperRoman"/>
      <w:lvlText w:val="%1."/>
      <w:lvlJc w:val="left"/>
      <w:pPr>
        <w:tabs>
          <w:tab w:val="num" w:pos="720"/>
        </w:tabs>
        <w:ind w:left="0" w:firstLine="0"/>
      </w:pPr>
      <w:rPr>
        <w:rFonts w:ascii="Arial" w:hAnsi="Arial" w:hint="default"/>
        <w:b w:val="0"/>
        <w:i w:val="0"/>
        <w:sz w:val="24"/>
        <w:szCs w:val="24"/>
      </w:rPr>
    </w:lvl>
    <w:lvl w:ilvl="1">
      <w:start w:val="1"/>
      <w:numFmt w:val="upperLetter"/>
      <w:lvlText w:val="%2."/>
      <w:lvlJc w:val="left"/>
      <w:pPr>
        <w:tabs>
          <w:tab w:val="num" w:pos="1440"/>
        </w:tabs>
        <w:ind w:left="0" w:firstLine="720"/>
      </w:pPr>
      <w:rPr>
        <w:rFonts w:ascii="Arial" w:hAnsi="Arial" w:hint="default"/>
        <w:b w:val="0"/>
        <w:i w:val="0"/>
        <w:sz w:val="24"/>
        <w:szCs w:val="24"/>
      </w:rPr>
    </w:lvl>
    <w:lvl w:ilvl="2">
      <w:start w:val="1"/>
      <w:numFmt w:val="decimal"/>
      <w:lvlText w:val="%3."/>
      <w:lvlJc w:val="left"/>
      <w:pPr>
        <w:tabs>
          <w:tab w:val="num" w:pos="2160"/>
        </w:tabs>
        <w:ind w:left="0" w:firstLine="1440"/>
      </w:pPr>
      <w:rPr>
        <w:rFonts w:hint="default"/>
      </w:rPr>
    </w:lvl>
    <w:lvl w:ilvl="3">
      <w:start w:val="1"/>
      <w:numFmt w:val="lowerLetter"/>
      <w:lvlText w:val="%4."/>
      <w:lvlJc w:val="left"/>
      <w:pPr>
        <w:tabs>
          <w:tab w:val="num" w:pos="3600"/>
        </w:tabs>
        <w:ind w:left="3600" w:hanging="720"/>
      </w:pPr>
      <w:rPr>
        <w:rFonts w:hint="default"/>
      </w:rPr>
    </w:lvl>
    <w:lvl w:ilvl="4">
      <w:start w:val="1"/>
      <w:numFmt w:val="decimal"/>
      <w:lvlText w:val="(%5)"/>
      <w:lvlJc w:val="left"/>
      <w:pPr>
        <w:tabs>
          <w:tab w:val="num" w:pos="4320"/>
        </w:tabs>
        <w:ind w:left="4320" w:hanging="720"/>
      </w:pPr>
      <w:rPr>
        <w:rFonts w:hint="default"/>
      </w:rPr>
    </w:lvl>
    <w:lvl w:ilvl="5">
      <w:start w:val="1"/>
      <w:numFmt w:val="lowerLetter"/>
      <w:lvlText w:val="(%6)"/>
      <w:lvlJc w:val="left"/>
      <w:pPr>
        <w:tabs>
          <w:tab w:val="num" w:pos="3960"/>
        </w:tabs>
        <w:ind w:left="5040" w:hanging="72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0" w15:restartNumberingAfterBreak="0">
    <w:nsid w:val="5371623C"/>
    <w:multiLevelType w:val="hybridMultilevel"/>
    <w:tmpl w:val="298E8692"/>
    <w:lvl w:ilvl="0" w:tplc="9410D2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002396"/>
    <w:multiLevelType w:val="hybridMultilevel"/>
    <w:tmpl w:val="93FE0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CC7B75"/>
    <w:multiLevelType w:val="hybridMultilevel"/>
    <w:tmpl w:val="2522CF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8DE022D"/>
    <w:multiLevelType w:val="hybridMultilevel"/>
    <w:tmpl w:val="F8A6A7E6"/>
    <w:lvl w:ilvl="0" w:tplc="8AF2FBE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8E92935"/>
    <w:multiLevelType w:val="hybridMultilevel"/>
    <w:tmpl w:val="333CE608"/>
    <w:lvl w:ilvl="0" w:tplc="78AA8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6C512B"/>
    <w:multiLevelType w:val="hybridMultilevel"/>
    <w:tmpl w:val="02F0F3B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5BA4772E"/>
    <w:multiLevelType w:val="hybridMultilevel"/>
    <w:tmpl w:val="82CC4FD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227FC3"/>
    <w:multiLevelType w:val="multilevel"/>
    <w:tmpl w:val="606A1FDE"/>
    <w:lvl w:ilvl="0">
      <w:start w:val="1"/>
      <w:numFmt w:val="upperRoman"/>
      <w:pStyle w:val="Heading1"/>
      <w:lvlText w:val="%1."/>
      <w:lvlJc w:val="left"/>
      <w:pPr>
        <w:tabs>
          <w:tab w:val="num" w:pos="720"/>
        </w:tabs>
        <w:ind w:left="0" w:firstLine="0"/>
      </w:pPr>
      <w:rPr>
        <w:rFonts w:ascii="Arial" w:hAnsi="Arial" w:hint="default"/>
        <w:b w:val="0"/>
        <w:i w:val="0"/>
        <w:sz w:val="24"/>
        <w:szCs w:val="24"/>
      </w:rPr>
    </w:lvl>
    <w:lvl w:ilvl="1">
      <w:start w:val="1"/>
      <w:numFmt w:val="upperLetter"/>
      <w:pStyle w:val="Heading2"/>
      <w:lvlText w:val="%2."/>
      <w:lvlJc w:val="left"/>
      <w:pPr>
        <w:tabs>
          <w:tab w:val="num" w:pos="1620"/>
        </w:tabs>
        <w:ind w:left="180" w:firstLine="720"/>
      </w:pPr>
      <w:rPr>
        <w:rFonts w:ascii="Arial" w:hAnsi="Arial" w:hint="default"/>
        <w:b w:val="0"/>
        <w:i w:val="0"/>
        <w:sz w:val="24"/>
        <w:szCs w:val="24"/>
      </w:rPr>
    </w:lvl>
    <w:lvl w:ilvl="2">
      <w:start w:val="1"/>
      <w:numFmt w:val="decimal"/>
      <w:pStyle w:val="Heading3"/>
      <w:lvlText w:val="%3."/>
      <w:lvlJc w:val="left"/>
      <w:pPr>
        <w:tabs>
          <w:tab w:val="num" w:pos="2160"/>
        </w:tabs>
        <w:ind w:left="0" w:firstLine="1440"/>
      </w:pPr>
      <w:rPr>
        <w:rFonts w:hint="default"/>
      </w:rPr>
    </w:lvl>
    <w:lvl w:ilvl="3">
      <w:start w:val="1"/>
      <w:numFmt w:val="lowerLetter"/>
      <w:lvlText w:val="%4."/>
      <w:lvlJc w:val="left"/>
      <w:pPr>
        <w:tabs>
          <w:tab w:val="num" w:pos="3600"/>
        </w:tabs>
        <w:ind w:left="3600" w:hanging="720"/>
      </w:pPr>
      <w:rPr>
        <w:rFonts w:hint="default"/>
      </w:rPr>
    </w:lvl>
    <w:lvl w:ilvl="4">
      <w:start w:val="1"/>
      <w:numFmt w:val="decimal"/>
      <w:lvlText w:val="(%5)"/>
      <w:lvlJc w:val="left"/>
      <w:pPr>
        <w:tabs>
          <w:tab w:val="num" w:pos="4320"/>
        </w:tabs>
        <w:ind w:left="4320" w:hanging="720"/>
      </w:pPr>
      <w:rPr>
        <w:rFonts w:hint="default"/>
      </w:rPr>
    </w:lvl>
    <w:lvl w:ilvl="5">
      <w:start w:val="1"/>
      <w:numFmt w:val="lowerLetter"/>
      <w:lvlText w:val="(%6)"/>
      <w:lvlJc w:val="left"/>
      <w:pPr>
        <w:tabs>
          <w:tab w:val="num" w:pos="3960"/>
        </w:tabs>
        <w:ind w:left="5040" w:hanging="72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8" w15:restartNumberingAfterBreak="0">
    <w:nsid w:val="5E7B5EAB"/>
    <w:multiLevelType w:val="hybridMultilevel"/>
    <w:tmpl w:val="2CC03914"/>
    <w:lvl w:ilvl="0" w:tplc="FFFFFFFF">
      <w:start w:val="1"/>
      <w:numFmt w:val="decimal"/>
      <w:lvlText w:val="%1."/>
      <w:lvlJc w:val="left"/>
      <w:pPr>
        <w:ind w:left="216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2A23306"/>
    <w:multiLevelType w:val="hybridMultilevel"/>
    <w:tmpl w:val="D812A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7A5525"/>
    <w:multiLevelType w:val="hybridMultilevel"/>
    <w:tmpl w:val="658E8F3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8DE6900"/>
    <w:multiLevelType w:val="multilevel"/>
    <w:tmpl w:val="16368514"/>
    <w:lvl w:ilvl="0">
      <w:start w:val="1"/>
      <w:numFmt w:val="lowerLetter"/>
      <w:lvlText w:val="%1."/>
      <w:lvlJc w:val="left"/>
      <w:pPr>
        <w:tabs>
          <w:tab w:val="num" w:pos="23760"/>
        </w:tabs>
        <w:ind w:left="23760" w:firstLine="720"/>
      </w:pPr>
      <w:rPr>
        <w:rFonts w:hint="default"/>
      </w:rPr>
    </w:lvl>
    <w:lvl w:ilvl="1">
      <w:start w:val="1"/>
      <w:numFmt w:val="lowerLetter"/>
      <w:lvlText w:val="%2)"/>
      <w:lvlJc w:val="left"/>
      <w:pPr>
        <w:tabs>
          <w:tab w:val="num" w:pos="24840"/>
        </w:tabs>
        <w:ind w:left="24840" w:hanging="360"/>
      </w:pPr>
      <w:rPr>
        <w:rFonts w:hint="default"/>
      </w:rPr>
    </w:lvl>
    <w:lvl w:ilvl="2">
      <w:start w:val="1"/>
      <w:numFmt w:val="lowerRoman"/>
      <w:lvlText w:val="%3)"/>
      <w:lvlJc w:val="left"/>
      <w:pPr>
        <w:tabs>
          <w:tab w:val="num" w:pos="25200"/>
        </w:tabs>
        <w:ind w:left="25200" w:hanging="360"/>
      </w:pPr>
      <w:rPr>
        <w:rFonts w:hint="default"/>
      </w:rPr>
    </w:lvl>
    <w:lvl w:ilvl="3">
      <w:start w:val="1"/>
      <w:numFmt w:val="none"/>
      <w:pStyle w:val="Heading4"/>
      <w:lvlText w:val="a."/>
      <w:lvlJc w:val="left"/>
      <w:pPr>
        <w:tabs>
          <w:tab w:val="num" w:pos="2880"/>
        </w:tabs>
        <w:ind w:left="0" w:firstLine="2160"/>
      </w:pPr>
      <w:rPr>
        <w:rFonts w:ascii="Arial" w:hAnsi="Arial" w:hint="default"/>
        <w:b w:val="0"/>
        <w:i w:val="0"/>
        <w:sz w:val="24"/>
        <w:szCs w:val="24"/>
      </w:rPr>
    </w:lvl>
    <w:lvl w:ilvl="4">
      <w:start w:val="1"/>
      <w:numFmt w:val="decimal"/>
      <w:pStyle w:val="Heading5"/>
      <w:lvlText w:val="(%5)"/>
      <w:lvlJc w:val="left"/>
      <w:pPr>
        <w:tabs>
          <w:tab w:val="num" w:pos="3600"/>
        </w:tabs>
        <w:ind w:left="0" w:firstLine="2880"/>
      </w:pPr>
      <w:rPr>
        <w:rFonts w:hint="default"/>
      </w:rPr>
    </w:lvl>
    <w:lvl w:ilvl="5">
      <w:start w:val="1"/>
      <w:numFmt w:val="lowerLetter"/>
      <w:pStyle w:val="Heading6"/>
      <w:lvlText w:val="(%6)"/>
      <w:lvlJc w:val="left"/>
      <w:pPr>
        <w:tabs>
          <w:tab w:val="num" w:pos="4320"/>
        </w:tabs>
        <w:ind w:left="0" w:firstLine="3600"/>
      </w:pPr>
      <w:rPr>
        <w:rFonts w:ascii="Arial" w:hAnsi="Arial" w:hint="default"/>
        <w:b w:val="0"/>
        <w:i w:val="0"/>
        <w:sz w:val="24"/>
        <w:szCs w:val="24"/>
      </w:rPr>
    </w:lvl>
    <w:lvl w:ilvl="6">
      <w:start w:val="1"/>
      <w:numFmt w:val="lowerRoman"/>
      <w:pStyle w:val="Heading7"/>
      <w:lvlText w:val="(%7)"/>
      <w:lvlJc w:val="left"/>
      <w:pPr>
        <w:tabs>
          <w:tab w:val="num" w:pos="720"/>
        </w:tabs>
        <w:ind w:left="0" w:firstLine="4320"/>
      </w:pPr>
      <w:rPr>
        <w:rFonts w:ascii="Arial" w:hAnsi="Arial" w:hint="default"/>
        <w:b w:val="0"/>
        <w:i w:val="0"/>
        <w:sz w:val="24"/>
        <w:szCs w:val="24"/>
      </w:rPr>
    </w:lvl>
    <w:lvl w:ilvl="7">
      <w:start w:val="1"/>
      <w:numFmt w:val="lowerLetter"/>
      <w:lvlText w:val="%8."/>
      <w:lvlJc w:val="left"/>
      <w:pPr>
        <w:tabs>
          <w:tab w:val="num" w:pos="27000"/>
        </w:tabs>
        <w:ind w:left="27000" w:hanging="360"/>
      </w:pPr>
      <w:rPr>
        <w:rFonts w:hint="default"/>
      </w:rPr>
    </w:lvl>
    <w:lvl w:ilvl="8">
      <w:start w:val="1"/>
      <w:numFmt w:val="lowerRoman"/>
      <w:lvlText w:val="%9."/>
      <w:lvlJc w:val="left"/>
      <w:pPr>
        <w:tabs>
          <w:tab w:val="num" w:pos="27360"/>
        </w:tabs>
        <w:ind w:left="27360" w:hanging="360"/>
      </w:pPr>
      <w:rPr>
        <w:rFonts w:hint="default"/>
      </w:rPr>
    </w:lvl>
  </w:abstractNum>
  <w:abstractNum w:abstractNumId="42" w15:restartNumberingAfterBreak="0">
    <w:nsid w:val="6DD4278A"/>
    <w:multiLevelType w:val="hybridMultilevel"/>
    <w:tmpl w:val="20DE5DD0"/>
    <w:lvl w:ilvl="0" w:tplc="9A6486D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19296218">
    <w:abstractNumId w:val="37"/>
  </w:num>
  <w:num w:numId="2" w16cid:durableId="1146705645">
    <w:abstractNumId w:val="41"/>
  </w:num>
  <w:num w:numId="3" w16cid:durableId="380792809">
    <w:abstractNumId w:val="26"/>
  </w:num>
  <w:num w:numId="4" w16cid:durableId="210269048">
    <w:abstractNumId w:val="23"/>
  </w:num>
  <w:num w:numId="5" w16cid:durableId="189416983">
    <w:abstractNumId w:val="17"/>
  </w:num>
  <w:num w:numId="6" w16cid:durableId="747112515">
    <w:abstractNumId w:val="31"/>
  </w:num>
  <w:num w:numId="7" w16cid:durableId="488323725">
    <w:abstractNumId w:val="20"/>
  </w:num>
  <w:num w:numId="8" w16cid:durableId="1845782844">
    <w:abstractNumId w:val="27"/>
  </w:num>
  <w:num w:numId="9" w16cid:durableId="1988436735">
    <w:abstractNumId w:val="34"/>
  </w:num>
  <w:num w:numId="10" w16cid:durableId="1337880381">
    <w:abstractNumId w:val="39"/>
  </w:num>
  <w:num w:numId="11" w16cid:durableId="1186553031">
    <w:abstractNumId w:val="18"/>
  </w:num>
  <w:num w:numId="12" w16cid:durableId="68967015">
    <w:abstractNumId w:val="9"/>
  </w:num>
  <w:num w:numId="13" w16cid:durableId="2081559186">
    <w:abstractNumId w:val="7"/>
  </w:num>
  <w:num w:numId="14" w16cid:durableId="435832940">
    <w:abstractNumId w:val="6"/>
  </w:num>
  <w:num w:numId="15" w16cid:durableId="291911682">
    <w:abstractNumId w:val="5"/>
  </w:num>
  <w:num w:numId="16" w16cid:durableId="1591158113">
    <w:abstractNumId w:val="4"/>
  </w:num>
  <w:num w:numId="17" w16cid:durableId="845249480">
    <w:abstractNumId w:val="8"/>
  </w:num>
  <w:num w:numId="18" w16cid:durableId="1813446766">
    <w:abstractNumId w:val="3"/>
  </w:num>
  <w:num w:numId="19" w16cid:durableId="832112481">
    <w:abstractNumId w:val="2"/>
  </w:num>
  <w:num w:numId="20" w16cid:durableId="1437284648">
    <w:abstractNumId w:val="1"/>
  </w:num>
  <w:num w:numId="21" w16cid:durableId="2101682358">
    <w:abstractNumId w:val="0"/>
  </w:num>
  <w:num w:numId="22" w16cid:durableId="669993016">
    <w:abstractNumId w:val="29"/>
  </w:num>
  <w:num w:numId="23" w16cid:durableId="12177423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212430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78242397">
    <w:abstractNumId w:val="40"/>
  </w:num>
  <w:num w:numId="26" w16cid:durableId="1211310024">
    <w:abstractNumId w:val="22"/>
  </w:num>
  <w:num w:numId="27" w16cid:durableId="40717614">
    <w:abstractNumId w:val="13"/>
  </w:num>
  <w:num w:numId="28" w16cid:durableId="341736643">
    <w:abstractNumId w:val="21"/>
  </w:num>
  <w:num w:numId="29" w16cid:durableId="428889908">
    <w:abstractNumId w:val="28"/>
  </w:num>
  <w:num w:numId="30" w16cid:durableId="528026144">
    <w:abstractNumId w:val="24"/>
  </w:num>
  <w:num w:numId="31" w16cid:durableId="726804809">
    <w:abstractNumId w:val="35"/>
  </w:num>
  <w:num w:numId="32" w16cid:durableId="352922524">
    <w:abstractNumId w:val="14"/>
  </w:num>
  <w:num w:numId="33" w16cid:durableId="1136067706">
    <w:abstractNumId w:val="12"/>
  </w:num>
  <w:num w:numId="34" w16cid:durableId="1907108948">
    <w:abstractNumId w:val="25"/>
  </w:num>
  <w:num w:numId="35" w16cid:durableId="1299411631">
    <w:abstractNumId w:val="11"/>
  </w:num>
  <w:num w:numId="36" w16cid:durableId="1836266964">
    <w:abstractNumId w:val="10"/>
  </w:num>
  <w:num w:numId="37" w16cid:durableId="849415013">
    <w:abstractNumId w:val="16"/>
  </w:num>
  <w:num w:numId="38" w16cid:durableId="1234438368">
    <w:abstractNumId w:val="32"/>
  </w:num>
  <w:num w:numId="39" w16cid:durableId="719212032">
    <w:abstractNumId w:val="19"/>
  </w:num>
  <w:num w:numId="40" w16cid:durableId="249001961">
    <w:abstractNumId w:val="33"/>
  </w:num>
  <w:num w:numId="41" w16cid:durableId="1895390699">
    <w:abstractNumId w:val="36"/>
  </w:num>
  <w:num w:numId="42" w16cid:durableId="1456947909">
    <w:abstractNumId w:val="42"/>
  </w:num>
  <w:num w:numId="43" w16cid:durableId="939483587">
    <w:abstractNumId w:val="30"/>
  </w:num>
  <w:num w:numId="44" w16cid:durableId="1379890361">
    <w:abstractNumId w:val="15"/>
  </w:num>
  <w:num w:numId="45" w16cid:durableId="899827125">
    <w:abstractNumId w:val="3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BD1"/>
    <w:rsid w:val="000026E5"/>
    <w:rsid w:val="00003B56"/>
    <w:rsid w:val="00006911"/>
    <w:rsid w:val="0001399C"/>
    <w:rsid w:val="00016523"/>
    <w:rsid w:val="00020E56"/>
    <w:rsid w:val="00025EB7"/>
    <w:rsid w:val="00030635"/>
    <w:rsid w:val="00032794"/>
    <w:rsid w:val="00033D53"/>
    <w:rsid w:val="00035A0B"/>
    <w:rsid w:val="00037F27"/>
    <w:rsid w:val="00040D4D"/>
    <w:rsid w:val="000414E4"/>
    <w:rsid w:val="00044C92"/>
    <w:rsid w:val="00045969"/>
    <w:rsid w:val="000510C2"/>
    <w:rsid w:val="000510D5"/>
    <w:rsid w:val="0005119D"/>
    <w:rsid w:val="00051900"/>
    <w:rsid w:val="00053511"/>
    <w:rsid w:val="00060BA1"/>
    <w:rsid w:val="00062CF4"/>
    <w:rsid w:val="00073D87"/>
    <w:rsid w:val="0007527C"/>
    <w:rsid w:val="0007716C"/>
    <w:rsid w:val="00081C10"/>
    <w:rsid w:val="000838F2"/>
    <w:rsid w:val="00084341"/>
    <w:rsid w:val="0008527B"/>
    <w:rsid w:val="000870E4"/>
    <w:rsid w:val="00096BF9"/>
    <w:rsid w:val="0009726F"/>
    <w:rsid w:val="000A2746"/>
    <w:rsid w:val="000A645D"/>
    <w:rsid w:val="000B1D3C"/>
    <w:rsid w:val="000B42AF"/>
    <w:rsid w:val="000B4547"/>
    <w:rsid w:val="000B5515"/>
    <w:rsid w:val="000B5680"/>
    <w:rsid w:val="000C1353"/>
    <w:rsid w:val="000C2F58"/>
    <w:rsid w:val="000C319F"/>
    <w:rsid w:val="000C4525"/>
    <w:rsid w:val="000C583D"/>
    <w:rsid w:val="000C752D"/>
    <w:rsid w:val="000D1CEF"/>
    <w:rsid w:val="000E199E"/>
    <w:rsid w:val="000E2102"/>
    <w:rsid w:val="000E24FD"/>
    <w:rsid w:val="000F45A9"/>
    <w:rsid w:val="000F5818"/>
    <w:rsid w:val="0010434A"/>
    <w:rsid w:val="0010518D"/>
    <w:rsid w:val="00117039"/>
    <w:rsid w:val="001219F4"/>
    <w:rsid w:val="00123098"/>
    <w:rsid w:val="001242EF"/>
    <w:rsid w:val="00125DFA"/>
    <w:rsid w:val="00127380"/>
    <w:rsid w:val="00131D18"/>
    <w:rsid w:val="00134718"/>
    <w:rsid w:val="001348BF"/>
    <w:rsid w:val="001349F5"/>
    <w:rsid w:val="00134A82"/>
    <w:rsid w:val="00135611"/>
    <w:rsid w:val="00135687"/>
    <w:rsid w:val="00140879"/>
    <w:rsid w:val="001450B3"/>
    <w:rsid w:val="00146749"/>
    <w:rsid w:val="00146B2B"/>
    <w:rsid w:val="00150335"/>
    <w:rsid w:val="001515A8"/>
    <w:rsid w:val="00152814"/>
    <w:rsid w:val="00154D7B"/>
    <w:rsid w:val="00155D67"/>
    <w:rsid w:val="00157ACA"/>
    <w:rsid w:val="00161254"/>
    <w:rsid w:val="001631D3"/>
    <w:rsid w:val="00167152"/>
    <w:rsid w:val="00170076"/>
    <w:rsid w:val="00170770"/>
    <w:rsid w:val="0017082C"/>
    <w:rsid w:val="00171C51"/>
    <w:rsid w:val="00174B4F"/>
    <w:rsid w:val="00177135"/>
    <w:rsid w:val="0017747E"/>
    <w:rsid w:val="00186D64"/>
    <w:rsid w:val="001876A9"/>
    <w:rsid w:val="00194AB0"/>
    <w:rsid w:val="001964F5"/>
    <w:rsid w:val="00197EBD"/>
    <w:rsid w:val="001A06A5"/>
    <w:rsid w:val="001A0738"/>
    <w:rsid w:val="001A1643"/>
    <w:rsid w:val="001A55B0"/>
    <w:rsid w:val="001A7EE7"/>
    <w:rsid w:val="001B4D58"/>
    <w:rsid w:val="001B57AC"/>
    <w:rsid w:val="001B76AB"/>
    <w:rsid w:val="001C4770"/>
    <w:rsid w:val="001C6066"/>
    <w:rsid w:val="001C69B0"/>
    <w:rsid w:val="001C7BC8"/>
    <w:rsid w:val="001E0C8E"/>
    <w:rsid w:val="001E516A"/>
    <w:rsid w:val="001F1053"/>
    <w:rsid w:val="002002C4"/>
    <w:rsid w:val="00207F82"/>
    <w:rsid w:val="00211D0C"/>
    <w:rsid w:val="00220DE7"/>
    <w:rsid w:val="002336F4"/>
    <w:rsid w:val="00233823"/>
    <w:rsid w:val="00233F64"/>
    <w:rsid w:val="0023616C"/>
    <w:rsid w:val="00236A03"/>
    <w:rsid w:val="00236DBF"/>
    <w:rsid w:val="00240A50"/>
    <w:rsid w:val="00240C72"/>
    <w:rsid w:val="00242591"/>
    <w:rsid w:val="00246A05"/>
    <w:rsid w:val="00251254"/>
    <w:rsid w:val="00252306"/>
    <w:rsid w:val="00253854"/>
    <w:rsid w:val="00254734"/>
    <w:rsid w:val="002622A0"/>
    <w:rsid w:val="00264EC3"/>
    <w:rsid w:val="002741B4"/>
    <w:rsid w:val="00277CA4"/>
    <w:rsid w:val="0028592D"/>
    <w:rsid w:val="002868AB"/>
    <w:rsid w:val="00297348"/>
    <w:rsid w:val="00297623"/>
    <w:rsid w:val="002A7159"/>
    <w:rsid w:val="002B2005"/>
    <w:rsid w:val="002B3AC2"/>
    <w:rsid w:val="002C016D"/>
    <w:rsid w:val="002C5D53"/>
    <w:rsid w:val="002C6783"/>
    <w:rsid w:val="002C7E91"/>
    <w:rsid w:val="002D0D38"/>
    <w:rsid w:val="002D2F91"/>
    <w:rsid w:val="002D33FA"/>
    <w:rsid w:val="002D6D0B"/>
    <w:rsid w:val="002E21DB"/>
    <w:rsid w:val="002E505C"/>
    <w:rsid w:val="002E53A5"/>
    <w:rsid w:val="002E5CFF"/>
    <w:rsid w:val="002E6046"/>
    <w:rsid w:val="002F41FE"/>
    <w:rsid w:val="0030634A"/>
    <w:rsid w:val="003064AF"/>
    <w:rsid w:val="00306E25"/>
    <w:rsid w:val="00307B01"/>
    <w:rsid w:val="0031376C"/>
    <w:rsid w:val="00314C44"/>
    <w:rsid w:val="00314CD1"/>
    <w:rsid w:val="00323403"/>
    <w:rsid w:val="00331208"/>
    <w:rsid w:val="00337AD6"/>
    <w:rsid w:val="00342C84"/>
    <w:rsid w:val="003467F9"/>
    <w:rsid w:val="00351171"/>
    <w:rsid w:val="0035172F"/>
    <w:rsid w:val="00351DF3"/>
    <w:rsid w:val="003525C9"/>
    <w:rsid w:val="00352E17"/>
    <w:rsid w:val="003569E4"/>
    <w:rsid w:val="00357C15"/>
    <w:rsid w:val="00360827"/>
    <w:rsid w:val="003612BB"/>
    <w:rsid w:val="003632C6"/>
    <w:rsid w:val="00372321"/>
    <w:rsid w:val="00377A3E"/>
    <w:rsid w:val="003808C1"/>
    <w:rsid w:val="003A0426"/>
    <w:rsid w:val="003A1C69"/>
    <w:rsid w:val="003A5AFF"/>
    <w:rsid w:val="003B3A9B"/>
    <w:rsid w:val="003C17C3"/>
    <w:rsid w:val="003C366A"/>
    <w:rsid w:val="003C52A2"/>
    <w:rsid w:val="003C6D31"/>
    <w:rsid w:val="003D25A9"/>
    <w:rsid w:val="003D2F55"/>
    <w:rsid w:val="003D7D88"/>
    <w:rsid w:val="003E0ACE"/>
    <w:rsid w:val="003E20A4"/>
    <w:rsid w:val="003E2721"/>
    <w:rsid w:val="003E33DA"/>
    <w:rsid w:val="003E4D1E"/>
    <w:rsid w:val="0040487C"/>
    <w:rsid w:val="00406F43"/>
    <w:rsid w:val="00412486"/>
    <w:rsid w:val="00425C63"/>
    <w:rsid w:val="0042635E"/>
    <w:rsid w:val="00432656"/>
    <w:rsid w:val="00432F03"/>
    <w:rsid w:val="00434D63"/>
    <w:rsid w:val="00437767"/>
    <w:rsid w:val="00440A08"/>
    <w:rsid w:val="004438B8"/>
    <w:rsid w:val="00454CA4"/>
    <w:rsid w:val="004553F6"/>
    <w:rsid w:val="00455F35"/>
    <w:rsid w:val="0046389C"/>
    <w:rsid w:val="004661D6"/>
    <w:rsid w:val="0047034A"/>
    <w:rsid w:val="00472F0B"/>
    <w:rsid w:val="004744A6"/>
    <w:rsid w:val="00475670"/>
    <w:rsid w:val="00476EC0"/>
    <w:rsid w:val="00477D38"/>
    <w:rsid w:val="0048035F"/>
    <w:rsid w:val="0048152C"/>
    <w:rsid w:val="004815C6"/>
    <w:rsid w:val="00482AE1"/>
    <w:rsid w:val="004831F8"/>
    <w:rsid w:val="0048338D"/>
    <w:rsid w:val="00484EE4"/>
    <w:rsid w:val="00485C4F"/>
    <w:rsid w:val="0048738F"/>
    <w:rsid w:val="00490CC8"/>
    <w:rsid w:val="0049155A"/>
    <w:rsid w:val="004937D6"/>
    <w:rsid w:val="00494B0D"/>
    <w:rsid w:val="0049533D"/>
    <w:rsid w:val="004A16C8"/>
    <w:rsid w:val="004A1ED2"/>
    <w:rsid w:val="004B3999"/>
    <w:rsid w:val="004C6DD2"/>
    <w:rsid w:val="004C7861"/>
    <w:rsid w:val="004D031C"/>
    <w:rsid w:val="004E39B1"/>
    <w:rsid w:val="004E6020"/>
    <w:rsid w:val="004E7B55"/>
    <w:rsid w:val="004F1F71"/>
    <w:rsid w:val="004F231A"/>
    <w:rsid w:val="004F6BC3"/>
    <w:rsid w:val="00511EBC"/>
    <w:rsid w:val="00515A45"/>
    <w:rsid w:val="00522536"/>
    <w:rsid w:val="0052362A"/>
    <w:rsid w:val="00523911"/>
    <w:rsid w:val="0052470D"/>
    <w:rsid w:val="0052501A"/>
    <w:rsid w:val="005255CC"/>
    <w:rsid w:val="00525BC6"/>
    <w:rsid w:val="00531511"/>
    <w:rsid w:val="00534BF3"/>
    <w:rsid w:val="00536281"/>
    <w:rsid w:val="005415BB"/>
    <w:rsid w:val="005603D3"/>
    <w:rsid w:val="00562924"/>
    <w:rsid w:val="00571282"/>
    <w:rsid w:val="00571292"/>
    <w:rsid w:val="00571535"/>
    <w:rsid w:val="00575C66"/>
    <w:rsid w:val="005806D4"/>
    <w:rsid w:val="00580FFC"/>
    <w:rsid w:val="00583CD6"/>
    <w:rsid w:val="00585CF0"/>
    <w:rsid w:val="005873F9"/>
    <w:rsid w:val="00587BEA"/>
    <w:rsid w:val="005900E0"/>
    <w:rsid w:val="00596D76"/>
    <w:rsid w:val="005973FB"/>
    <w:rsid w:val="005A09CE"/>
    <w:rsid w:val="005A3FCB"/>
    <w:rsid w:val="005B32E4"/>
    <w:rsid w:val="005C28A7"/>
    <w:rsid w:val="005C3A03"/>
    <w:rsid w:val="005C5D10"/>
    <w:rsid w:val="005D2D81"/>
    <w:rsid w:val="005D329A"/>
    <w:rsid w:val="005D7FEF"/>
    <w:rsid w:val="005E0064"/>
    <w:rsid w:val="005E413F"/>
    <w:rsid w:val="005E4B67"/>
    <w:rsid w:val="005F43E1"/>
    <w:rsid w:val="005F4CCA"/>
    <w:rsid w:val="005F512F"/>
    <w:rsid w:val="005F6523"/>
    <w:rsid w:val="005F766A"/>
    <w:rsid w:val="00600AF8"/>
    <w:rsid w:val="00601BC3"/>
    <w:rsid w:val="00602DA6"/>
    <w:rsid w:val="00604DEB"/>
    <w:rsid w:val="00606634"/>
    <w:rsid w:val="00607C07"/>
    <w:rsid w:val="00617413"/>
    <w:rsid w:val="00617D90"/>
    <w:rsid w:val="00622503"/>
    <w:rsid w:val="006251AA"/>
    <w:rsid w:val="00625F31"/>
    <w:rsid w:val="00625FCC"/>
    <w:rsid w:val="0062700E"/>
    <w:rsid w:val="00627E50"/>
    <w:rsid w:val="00633187"/>
    <w:rsid w:val="006336E7"/>
    <w:rsid w:val="00633BCB"/>
    <w:rsid w:val="00635388"/>
    <w:rsid w:val="006367DD"/>
    <w:rsid w:val="00637E20"/>
    <w:rsid w:val="00644DE1"/>
    <w:rsid w:val="00645F02"/>
    <w:rsid w:val="0064773B"/>
    <w:rsid w:val="00650C69"/>
    <w:rsid w:val="00653AD3"/>
    <w:rsid w:val="006605F9"/>
    <w:rsid w:val="00662D4D"/>
    <w:rsid w:val="00666464"/>
    <w:rsid w:val="006674CD"/>
    <w:rsid w:val="006674DE"/>
    <w:rsid w:val="006771B2"/>
    <w:rsid w:val="006838EA"/>
    <w:rsid w:val="0068495C"/>
    <w:rsid w:val="00685D65"/>
    <w:rsid w:val="006877DB"/>
    <w:rsid w:val="0068793D"/>
    <w:rsid w:val="006926DA"/>
    <w:rsid w:val="00694E32"/>
    <w:rsid w:val="006A0798"/>
    <w:rsid w:val="006A08DF"/>
    <w:rsid w:val="006A0F06"/>
    <w:rsid w:val="006A606C"/>
    <w:rsid w:val="006A77DC"/>
    <w:rsid w:val="006B3E2E"/>
    <w:rsid w:val="006C0C59"/>
    <w:rsid w:val="006C2672"/>
    <w:rsid w:val="006C7E74"/>
    <w:rsid w:val="006D2EFA"/>
    <w:rsid w:val="006D3AC8"/>
    <w:rsid w:val="006D6E19"/>
    <w:rsid w:val="006E0A35"/>
    <w:rsid w:val="006E32CC"/>
    <w:rsid w:val="006E3E8A"/>
    <w:rsid w:val="006E45D8"/>
    <w:rsid w:val="006F1537"/>
    <w:rsid w:val="006F36F6"/>
    <w:rsid w:val="006F3AF4"/>
    <w:rsid w:val="006F553D"/>
    <w:rsid w:val="006F75A4"/>
    <w:rsid w:val="0070047B"/>
    <w:rsid w:val="00707227"/>
    <w:rsid w:val="00707512"/>
    <w:rsid w:val="00711D8F"/>
    <w:rsid w:val="0071450F"/>
    <w:rsid w:val="00716BDC"/>
    <w:rsid w:val="0072381A"/>
    <w:rsid w:val="00725791"/>
    <w:rsid w:val="00725991"/>
    <w:rsid w:val="0072607D"/>
    <w:rsid w:val="00727811"/>
    <w:rsid w:val="00727C6F"/>
    <w:rsid w:val="0073257F"/>
    <w:rsid w:val="007456BF"/>
    <w:rsid w:val="00750CDC"/>
    <w:rsid w:val="0075667E"/>
    <w:rsid w:val="00756AE5"/>
    <w:rsid w:val="007576D1"/>
    <w:rsid w:val="00761A97"/>
    <w:rsid w:val="007621F0"/>
    <w:rsid w:val="007636CC"/>
    <w:rsid w:val="00766036"/>
    <w:rsid w:val="00774891"/>
    <w:rsid w:val="00774D7A"/>
    <w:rsid w:val="00776C4D"/>
    <w:rsid w:val="00777527"/>
    <w:rsid w:val="00784E35"/>
    <w:rsid w:val="00784EB7"/>
    <w:rsid w:val="0078594E"/>
    <w:rsid w:val="00786A66"/>
    <w:rsid w:val="00787ED5"/>
    <w:rsid w:val="00790BEE"/>
    <w:rsid w:val="00795ECC"/>
    <w:rsid w:val="00796C4F"/>
    <w:rsid w:val="007A0B56"/>
    <w:rsid w:val="007A112E"/>
    <w:rsid w:val="007A117B"/>
    <w:rsid w:val="007A12F4"/>
    <w:rsid w:val="007A26BF"/>
    <w:rsid w:val="007A64E7"/>
    <w:rsid w:val="007B2323"/>
    <w:rsid w:val="007B7B47"/>
    <w:rsid w:val="007C5DF9"/>
    <w:rsid w:val="007D39A5"/>
    <w:rsid w:val="007E0426"/>
    <w:rsid w:val="007E0F51"/>
    <w:rsid w:val="007E1F78"/>
    <w:rsid w:val="007F1FD4"/>
    <w:rsid w:val="007F2A26"/>
    <w:rsid w:val="007F3065"/>
    <w:rsid w:val="007F6F7B"/>
    <w:rsid w:val="007F7FF8"/>
    <w:rsid w:val="00803E7C"/>
    <w:rsid w:val="008040EE"/>
    <w:rsid w:val="0080618A"/>
    <w:rsid w:val="008065C2"/>
    <w:rsid w:val="00811C81"/>
    <w:rsid w:val="00812D65"/>
    <w:rsid w:val="008141DC"/>
    <w:rsid w:val="008152F7"/>
    <w:rsid w:val="00815F02"/>
    <w:rsid w:val="00816438"/>
    <w:rsid w:val="00816A67"/>
    <w:rsid w:val="0082045B"/>
    <w:rsid w:val="008316F7"/>
    <w:rsid w:val="008319DA"/>
    <w:rsid w:val="008321DD"/>
    <w:rsid w:val="008333E5"/>
    <w:rsid w:val="008364DE"/>
    <w:rsid w:val="008400C9"/>
    <w:rsid w:val="008433CA"/>
    <w:rsid w:val="0084433E"/>
    <w:rsid w:val="00845AAD"/>
    <w:rsid w:val="008462AA"/>
    <w:rsid w:val="00847578"/>
    <w:rsid w:val="00847826"/>
    <w:rsid w:val="00851992"/>
    <w:rsid w:val="00852059"/>
    <w:rsid w:val="00852771"/>
    <w:rsid w:val="0085460A"/>
    <w:rsid w:val="00854B7F"/>
    <w:rsid w:val="00861A9C"/>
    <w:rsid w:val="00862CB6"/>
    <w:rsid w:val="00862FF2"/>
    <w:rsid w:val="0087057E"/>
    <w:rsid w:val="0088233F"/>
    <w:rsid w:val="00884CFF"/>
    <w:rsid w:val="008873AC"/>
    <w:rsid w:val="0089271D"/>
    <w:rsid w:val="00894129"/>
    <w:rsid w:val="008A08DE"/>
    <w:rsid w:val="008A3EE9"/>
    <w:rsid w:val="008B0D47"/>
    <w:rsid w:val="008B142B"/>
    <w:rsid w:val="008B6D62"/>
    <w:rsid w:val="008D72CD"/>
    <w:rsid w:val="008D72E3"/>
    <w:rsid w:val="008E3BFC"/>
    <w:rsid w:val="008E4663"/>
    <w:rsid w:val="008E5CCE"/>
    <w:rsid w:val="008F08FC"/>
    <w:rsid w:val="008F43DE"/>
    <w:rsid w:val="00900272"/>
    <w:rsid w:val="0090697C"/>
    <w:rsid w:val="009070DE"/>
    <w:rsid w:val="0091121B"/>
    <w:rsid w:val="009232AC"/>
    <w:rsid w:val="00926344"/>
    <w:rsid w:val="00926E16"/>
    <w:rsid w:val="0093087A"/>
    <w:rsid w:val="009319A4"/>
    <w:rsid w:val="00935CCE"/>
    <w:rsid w:val="009435CE"/>
    <w:rsid w:val="00943790"/>
    <w:rsid w:val="00944F78"/>
    <w:rsid w:val="00945A42"/>
    <w:rsid w:val="00946E77"/>
    <w:rsid w:val="0095044B"/>
    <w:rsid w:val="00951975"/>
    <w:rsid w:val="009526CA"/>
    <w:rsid w:val="009540B0"/>
    <w:rsid w:val="009622A4"/>
    <w:rsid w:val="0096576E"/>
    <w:rsid w:val="009701A0"/>
    <w:rsid w:val="00972C02"/>
    <w:rsid w:val="00975370"/>
    <w:rsid w:val="0097674A"/>
    <w:rsid w:val="00976D71"/>
    <w:rsid w:val="009831E6"/>
    <w:rsid w:val="00990E2E"/>
    <w:rsid w:val="00993D23"/>
    <w:rsid w:val="009A1206"/>
    <w:rsid w:val="009A6D0F"/>
    <w:rsid w:val="009A7DBD"/>
    <w:rsid w:val="009B178F"/>
    <w:rsid w:val="009B63DA"/>
    <w:rsid w:val="009B6A72"/>
    <w:rsid w:val="009C010E"/>
    <w:rsid w:val="009C26FE"/>
    <w:rsid w:val="009C68CB"/>
    <w:rsid w:val="009C78B9"/>
    <w:rsid w:val="009C7B43"/>
    <w:rsid w:val="009C7BAA"/>
    <w:rsid w:val="009D07A1"/>
    <w:rsid w:val="009D40EA"/>
    <w:rsid w:val="009D4432"/>
    <w:rsid w:val="009D46F0"/>
    <w:rsid w:val="009D4A76"/>
    <w:rsid w:val="009D523B"/>
    <w:rsid w:val="009D5633"/>
    <w:rsid w:val="009E11B9"/>
    <w:rsid w:val="009E4469"/>
    <w:rsid w:val="009F4C5B"/>
    <w:rsid w:val="009F7E98"/>
    <w:rsid w:val="00A00729"/>
    <w:rsid w:val="00A00FB8"/>
    <w:rsid w:val="00A01ADB"/>
    <w:rsid w:val="00A041FE"/>
    <w:rsid w:val="00A11131"/>
    <w:rsid w:val="00A123C0"/>
    <w:rsid w:val="00A1356C"/>
    <w:rsid w:val="00A16F7D"/>
    <w:rsid w:val="00A202DF"/>
    <w:rsid w:val="00A2199D"/>
    <w:rsid w:val="00A2242D"/>
    <w:rsid w:val="00A24228"/>
    <w:rsid w:val="00A31A2E"/>
    <w:rsid w:val="00A33171"/>
    <w:rsid w:val="00A332BD"/>
    <w:rsid w:val="00A36DA8"/>
    <w:rsid w:val="00A378F7"/>
    <w:rsid w:val="00A40190"/>
    <w:rsid w:val="00A41138"/>
    <w:rsid w:val="00A46AD9"/>
    <w:rsid w:val="00A51B7E"/>
    <w:rsid w:val="00A51FE4"/>
    <w:rsid w:val="00A5351A"/>
    <w:rsid w:val="00A53EBF"/>
    <w:rsid w:val="00A56E46"/>
    <w:rsid w:val="00A61CEB"/>
    <w:rsid w:val="00A62AD7"/>
    <w:rsid w:val="00A664AD"/>
    <w:rsid w:val="00A71C3B"/>
    <w:rsid w:val="00A75D88"/>
    <w:rsid w:val="00A81B03"/>
    <w:rsid w:val="00A846BA"/>
    <w:rsid w:val="00A854F5"/>
    <w:rsid w:val="00A85789"/>
    <w:rsid w:val="00A940AA"/>
    <w:rsid w:val="00A9659D"/>
    <w:rsid w:val="00AA22B2"/>
    <w:rsid w:val="00AA6848"/>
    <w:rsid w:val="00AB7CCF"/>
    <w:rsid w:val="00AC11F6"/>
    <w:rsid w:val="00AC120D"/>
    <w:rsid w:val="00AC3B67"/>
    <w:rsid w:val="00AC3EBC"/>
    <w:rsid w:val="00AD4C4E"/>
    <w:rsid w:val="00AD6C9E"/>
    <w:rsid w:val="00AD7094"/>
    <w:rsid w:val="00AE1F12"/>
    <w:rsid w:val="00AE2E2B"/>
    <w:rsid w:val="00AE4698"/>
    <w:rsid w:val="00AE503D"/>
    <w:rsid w:val="00AF25E7"/>
    <w:rsid w:val="00AF443A"/>
    <w:rsid w:val="00AF519E"/>
    <w:rsid w:val="00B026F6"/>
    <w:rsid w:val="00B060EF"/>
    <w:rsid w:val="00B06CBE"/>
    <w:rsid w:val="00B1127F"/>
    <w:rsid w:val="00B11BE7"/>
    <w:rsid w:val="00B12129"/>
    <w:rsid w:val="00B138D8"/>
    <w:rsid w:val="00B17AFF"/>
    <w:rsid w:val="00B2414B"/>
    <w:rsid w:val="00B24F1C"/>
    <w:rsid w:val="00B274D7"/>
    <w:rsid w:val="00B275B8"/>
    <w:rsid w:val="00B31490"/>
    <w:rsid w:val="00B35D45"/>
    <w:rsid w:val="00B408A9"/>
    <w:rsid w:val="00B451AE"/>
    <w:rsid w:val="00B47F0D"/>
    <w:rsid w:val="00B51642"/>
    <w:rsid w:val="00B52189"/>
    <w:rsid w:val="00B52B36"/>
    <w:rsid w:val="00B53702"/>
    <w:rsid w:val="00B56A08"/>
    <w:rsid w:val="00B60225"/>
    <w:rsid w:val="00B60EB7"/>
    <w:rsid w:val="00B638B0"/>
    <w:rsid w:val="00B65E1D"/>
    <w:rsid w:val="00B666F7"/>
    <w:rsid w:val="00B678BF"/>
    <w:rsid w:val="00B75A41"/>
    <w:rsid w:val="00B96A21"/>
    <w:rsid w:val="00B9714C"/>
    <w:rsid w:val="00B97819"/>
    <w:rsid w:val="00BA1CE2"/>
    <w:rsid w:val="00BA2722"/>
    <w:rsid w:val="00BA3DFB"/>
    <w:rsid w:val="00BA6152"/>
    <w:rsid w:val="00BA6729"/>
    <w:rsid w:val="00BC10B9"/>
    <w:rsid w:val="00BC4C29"/>
    <w:rsid w:val="00BC7774"/>
    <w:rsid w:val="00BD2006"/>
    <w:rsid w:val="00BD2296"/>
    <w:rsid w:val="00BD6781"/>
    <w:rsid w:val="00BE0071"/>
    <w:rsid w:val="00BE0651"/>
    <w:rsid w:val="00BE4A62"/>
    <w:rsid w:val="00BE55E5"/>
    <w:rsid w:val="00BE59F8"/>
    <w:rsid w:val="00BF225F"/>
    <w:rsid w:val="00C0493A"/>
    <w:rsid w:val="00C12EDF"/>
    <w:rsid w:val="00C203F7"/>
    <w:rsid w:val="00C20768"/>
    <w:rsid w:val="00C21841"/>
    <w:rsid w:val="00C21A13"/>
    <w:rsid w:val="00C2495E"/>
    <w:rsid w:val="00C26812"/>
    <w:rsid w:val="00C2688E"/>
    <w:rsid w:val="00C27033"/>
    <w:rsid w:val="00C2715E"/>
    <w:rsid w:val="00C30869"/>
    <w:rsid w:val="00C36A26"/>
    <w:rsid w:val="00C42587"/>
    <w:rsid w:val="00C43E83"/>
    <w:rsid w:val="00C45202"/>
    <w:rsid w:val="00C456F7"/>
    <w:rsid w:val="00C518E9"/>
    <w:rsid w:val="00C52096"/>
    <w:rsid w:val="00C525F5"/>
    <w:rsid w:val="00C5595A"/>
    <w:rsid w:val="00C619F6"/>
    <w:rsid w:val="00C645FB"/>
    <w:rsid w:val="00C64E13"/>
    <w:rsid w:val="00C655BC"/>
    <w:rsid w:val="00C67EEC"/>
    <w:rsid w:val="00C7119E"/>
    <w:rsid w:val="00C737C3"/>
    <w:rsid w:val="00C76E62"/>
    <w:rsid w:val="00C82142"/>
    <w:rsid w:val="00C822E9"/>
    <w:rsid w:val="00C856BF"/>
    <w:rsid w:val="00C86D17"/>
    <w:rsid w:val="00C8719B"/>
    <w:rsid w:val="00C87C44"/>
    <w:rsid w:val="00C87E76"/>
    <w:rsid w:val="00C907F9"/>
    <w:rsid w:val="00C91EE3"/>
    <w:rsid w:val="00C94E01"/>
    <w:rsid w:val="00C952EF"/>
    <w:rsid w:val="00C95482"/>
    <w:rsid w:val="00C955EC"/>
    <w:rsid w:val="00C96742"/>
    <w:rsid w:val="00C96D74"/>
    <w:rsid w:val="00C9705A"/>
    <w:rsid w:val="00CA1DAD"/>
    <w:rsid w:val="00CA27EB"/>
    <w:rsid w:val="00CA58A7"/>
    <w:rsid w:val="00CA5CA7"/>
    <w:rsid w:val="00CB0B3F"/>
    <w:rsid w:val="00CB0BD1"/>
    <w:rsid w:val="00CB4EA7"/>
    <w:rsid w:val="00CC04F4"/>
    <w:rsid w:val="00CC46E5"/>
    <w:rsid w:val="00CC6885"/>
    <w:rsid w:val="00CD2A6E"/>
    <w:rsid w:val="00CD3802"/>
    <w:rsid w:val="00CD6BDB"/>
    <w:rsid w:val="00CE0869"/>
    <w:rsid w:val="00CE3947"/>
    <w:rsid w:val="00CE39A6"/>
    <w:rsid w:val="00CE7017"/>
    <w:rsid w:val="00CE7ED7"/>
    <w:rsid w:val="00CF2B92"/>
    <w:rsid w:val="00CF35F5"/>
    <w:rsid w:val="00D015D7"/>
    <w:rsid w:val="00D038DD"/>
    <w:rsid w:val="00D15ADD"/>
    <w:rsid w:val="00D1676C"/>
    <w:rsid w:val="00D168C5"/>
    <w:rsid w:val="00D16B59"/>
    <w:rsid w:val="00D17B24"/>
    <w:rsid w:val="00D26237"/>
    <w:rsid w:val="00D30D1A"/>
    <w:rsid w:val="00D34215"/>
    <w:rsid w:val="00D35C65"/>
    <w:rsid w:val="00D3624A"/>
    <w:rsid w:val="00D37582"/>
    <w:rsid w:val="00D46D59"/>
    <w:rsid w:val="00D5439E"/>
    <w:rsid w:val="00D55157"/>
    <w:rsid w:val="00D55CCB"/>
    <w:rsid w:val="00D55E31"/>
    <w:rsid w:val="00D574BE"/>
    <w:rsid w:val="00D600E9"/>
    <w:rsid w:val="00D6504C"/>
    <w:rsid w:val="00D65F0A"/>
    <w:rsid w:val="00D67770"/>
    <w:rsid w:val="00D814F4"/>
    <w:rsid w:val="00D81592"/>
    <w:rsid w:val="00D84F79"/>
    <w:rsid w:val="00D85417"/>
    <w:rsid w:val="00D86800"/>
    <w:rsid w:val="00D9020D"/>
    <w:rsid w:val="00D91ACA"/>
    <w:rsid w:val="00D941C6"/>
    <w:rsid w:val="00DA2E10"/>
    <w:rsid w:val="00DB4A60"/>
    <w:rsid w:val="00DC27D6"/>
    <w:rsid w:val="00DC315F"/>
    <w:rsid w:val="00DC33A4"/>
    <w:rsid w:val="00DC41D6"/>
    <w:rsid w:val="00DD368B"/>
    <w:rsid w:val="00DD4083"/>
    <w:rsid w:val="00DD7E40"/>
    <w:rsid w:val="00DE16D4"/>
    <w:rsid w:val="00DE18B7"/>
    <w:rsid w:val="00DF18FF"/>
    <w:rsid w:val="00DF2818"/>
    <w:rsid w:val="00DF746A"/>
    <w:rsid w:val="00E11C82"/>
    <w:rsid w:val="00E142C7"/>
    <w:rsid w:val="00E22682"/>
    <w:rsid w:val="00E26E42"/>
    <w:rsid w:val="00E272E7"/>
    <w:rsid w:val="00E32CA9"/>
    <w:rsid w:val="00E35397"/>
    <w:rsid w:val="00E353CD"/>
    <w:rsid w:val="00E41315"/>
    <w:rsid w:val="00E43A38"/>
    <w:rsid w:val="00E50FB7"/>
    <w:rsid w:val="00E535D3"/>
    <w:rsid w:val="00E5644F"/>
    <w:rsid w:val="00E62156"/>
    <w:rsid w:val="00E6350C"/>
    <w:rsid w:val="00E63F98"/>
    <w:rsid w:val="00E643AC"/>
    <w:rsid w:val="00E677AC"/>
    <w:rsid w:val="00E6787D"/>
    <w:rsid w:val="00E731F5"/>
    <w:rsid w:val="00E760FA"/>
    <w:rsid w:val="00E81A69"/>
    <w:rsid w:val="00E868FC"/>
    <w:rsid w:val="00E90442"/>
    <w:rsid w:val="00E958CD"/>
    <w:rsid w:val="00E965A0"/>
    <w:rsid w:val="00EA059C"/>
    <w:rsid w:val="00EA1A8D"/>
    <w:rsid w:val="00EA34D5"/>
    <w:rsid w:val="00EA3979"/>
    <w:rsid w:val="00EA592D"/>
    <w:rsid w:val="00EA6D35"/>
    <w:rsid w:val="00EA757D"/>
    <w:rsid w:val="00EB4116"/>
    <w:rsid w:val="00EB6C79"/>
    <w:rsid w:val="00EB7408"/>
    <w:rsid w:val="00EC1FA9"/>
    <w:rsid w:val="00EC3839"/>
    <w:rsid w:val="00EC3E2D"/>
    <w:rsid w:val="00EC5A13"/>
    <w:rsid w:val="00ED0087"/>
    <w:rsid w:val="00ED0FB1"/>
    <w:rsid w:val="00ED7D59"/>
    <w:rsid w:val="00EE1CE4"/>
    <w:rsid w:val="00EE2FE1"/>
    <w:rsid w:val="00EE730F"/>
    <w:rsid w:val="00EE7838"/>
    <w:rsid w:val="00EF08F0"/>
    <w:rsid w:val="00EF5721"/>
    <w:rsid w:val="00EF7FD0"/>
    <w:rsid w:val="00F01520"/>
    <w:rsid w:val="00F01942"/>
    <w:rsid w:val="00F12DB7"/>
    <w:rsid w:val="00F14952"/>
    <w:rsid w:val="00F17D02"/>
    <w:rsid w:val="00F25EC6"/>
    <w:rsid w:val="00F314FC"/>
    <w:rsid w:val="00F328AE"/>
    <w:rsid w:val="00F34382"/>
    <w:rsid w:val="00F3450A"/>
    <w:rsid w:val="00F35042"/>
    <w:rsid w:val="00F35145"/>
    <w:rsid w:val="00F37645"/>
    <w:rsid w:val="00F41F19"/>
    <w:rsid w:val="00F4447C"/>
    <w:rsid w:val="00F5103A"/>
    <w:rsid w:val="00F605F5"/>
    <w:rsid w:val="00F62610"/>
    <w:rsid w:val="00F62B19"/>
    <w:rsid w:val="00F635C9"/>
    <w:rsid w:val="00F63840"/>
    <w:rsid w:val="00F66B1A"/>
    <w:rsid w:val="00F724B0"/>
    <w:rsid w:val="00F74427"/>
    <w:rsid w:val="00F748BD"/>
    <w:rsid w:val="00F7662C"/>
    <w:rsid w:val="00F80F5A"/>
    <w:rsid w:val="00F848BA"/>
    <w:rsid w:val="00F90B07"/>
    <w:rsid w:val="00F965B1"/>
    <w:rsid w:val="00FA7EED"/>
    <w:rsid w:val="00FB1D79"/>
    <w:rsid w:val="00FC1682"/>
    <w:rsid w:val="00FC2BE8"/>
    <w:rsid w:val="00FC498F"/>
    <w:rsid w:val="00FD0D4C"/>
    <w:rsid w:val="00FD414F"/>
    <w:rsid w:val="00FD5CAC"/>
    <w:rsid w:val="00FE3F1C"/>
    <w:rsid w:val="00FE43C5"/>
    <w:rsid w:val="00FE761D"/>
    <w:rsid w:val="00FF1EA2"/>
    <w:rsid w:val="00FF3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486B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1B"/>
    <w:pPr>
      <w:spacing w:line="360" w:lineRule="auto"/>
      <w:ind w:firstLine="720"/>
    </w:pPr>
    <w:rPr>
      <w:rFonts w:cs="Arial"/>
      <w:bCs/>
      <w:kern w:val="32"/>
      <w:sz w:val="24"/>
      <w:szCs w:val="24"/>
    </w:rPr>
  </w:style>
  <w:style w:type="paragraph" w:styleId="Heading1">
    <w:name w:val="heading 1"/>
    <w:basedOn w:val="Normal"/>
    <w:next w:val="Normal"/>
    <w:qFormat/>
    <w:rsid w:val="00A01ADB"/>
    <w:pPr>
      <w:keepNext/>
      <w:numPr>
        <w:numId w:val="1"/>
      </w:numPr>
      <w:spacing w:before="360" w:after="240" w:line="240" w:lineRule="auto"/>
      <w:ind w:left="720" w:hanging="720"/>
      <w:outlineLvl w:val="0"/>
    </w:pPr>
    <w:rPr>
      <w:caps/>
    </w:rPr>
  </w:style>
  <w:style w:type="paragraph" w:styleId="Heading2">
    <w:name w:val="heading 2"/>
    <w:basedOn w:val="Normal"/>
    <w:next w:val="Normal"/>
    <w:qFormat/>
    <w:rsid w:val="00A01ADB"/>
    <w:pPr>
      <w:keepNext/>
      <w:numPr>
        <w:ilvl w:val="1"/>
        <w:numId w:val="1"/>
      </w:numPr>
      <w:tabs>
        <w:tab w:val="clear" w:pos="1620"/>
        <w:tab w:val="left" w:pos="720"/>
      </w:tabs>
      <w:spacing w:before="360" w:after="240" w:line="240" w:lineRule="auto"/>
      <w:ind w:left="1440" w:hanging="720"/>
      <w:outlineLvl w:val="1"/>
    </w:pPr>
    <w:rPr>
      <w:iCs/>
    </w:rPr>
  </w:style>
  <w:style w:type="paragraph" w:styleId="Heading3">
    <w:name w:val="heading 3"/>
    <w:basedOn w:val="Normal"/>
    <w:next w:val="Normal"/>
    <w:qFormat/>
    <w:rsid w:val="009C26FE"/>
    <w:pPr>
      <w:keepNext/>
      <w:numPr>
        <w:ilvl w:val="2"/>
        <w:numId w:val="1"/>
      </w:numPr>
      <w:tabs>
        <w:tab w:val="clear" w:pos="2160"/>
      </w:tabs>
      <w:spacing w:before="360" w:after="240" w:line="240" w:lineRule="auto"/>
      <w:ind w:left="2160" w:hanging="720"/>
      <w:outlineLvl w:val="2"/>
    </w:pPr>
  </w:style>
  <w:style w:type="paragraph" w:styleId="Heading4">
    <w:name w:val="heading 4"/>
    <w:basedOn w:val="Normal"/>
    <w:next w:val="Normal"/>
    <w:qFormat/>
    <w:rsid w:val="00AE6130"/>
    <w:pPr>
      <w:keepNext/>
      <w:numPr>
        <w:ilvl w:val="3"/>
        <w:numId w:val="2"/>
      </w:numPr>
      <w:spacing w:before="240" w:after="360" w:line="240" w:lineRule="auto"/>
      <w:outlineLvl w:val="3"/>
    </w:pPr>
    <w:rPr>
      <w:rFonts w:cs="Times New Roman"/>
    </w:rPr>
  </w:style>
  <w:style w:type="paragraph" w:styleId="Heading5">
    <w:name w:val="heading 5"/>
    <w:basedOn w:val="Normal"/>
    <w:next w:val="Normal"/>
    <w:qFormat/>
    <w:rsid w:val="00AE6130"/>
    <w:pPr>
      <w:numPr>
        <w:ilvl w:val="4"/>
        <w:numId w:val="2"/>
      </w:numPr>
      <w:spacing w:before="240" w:after="360" w:line="240" w:lineRule="auto"/>
      <w:outlineLvl w:val="4"/>
    </w:pPr>
    <w:rPr>
      <w:iCs/>
    </w:rPr>
  </w:style>
  <w:style w:type="paragraph" w:styleId="Heading6">
    <w:name w:val="heading 6"/>
    <w:basedOn w:val="Normal"/>
    <w:next w:val="Normal"/>
    <w:qFormat/>
    <w:rsid w:val="00AE6130"/>
    <w:pPr>
      <w:numPr>
        <w:ilvl w:val="5"/>
        <w:numId w:val="2"/>
      </w:numPr>
      <w:spacing w:before="240" w:after="360" w:line="240" w:lineRule="auto"/>
      <w:outlineLvl w:val="5"/>
    </w:pPr>
    <w:rPr>
      <w:rFonts w:cs="Times New Roman"/>
      <w:bCs w:val="0"/>
    </w:rPr>
  </w:style>
  <w:style w:type="paragraph" w:styleId="Heading7">
    <w:name w:val="heading 7"/>
    <w:basedOn w:val="Normal"/>
    <w:next w:val="Normal"/>
    <w:qFormat/>
    <w:rsid w:val="00AE6130"/>
    <w:pPr>
      <w:numPr>
        <w:ilvl w:val="6"/>
        <w:numId w:val="2"/>
      </w:numPr>
      <w:spacing w:before="240" w:after="360" w:line="240" w:lineRule="auto"/>
      <w:outlineLvl w:val="6"/>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22A44"/>
    <w:pPr>
      <w:ind w:firstLine="0"/>
    </w:pPr>
  </w:style>
  <w:style w:type="character" w:customStyle="1" w:styleId="BodyTextChar">
    <w:name w:val="Body Text Char"/>
    <w:link w:val="BodyText"/>
    <w:rsid w:val="0040446F"/>
    <w:rPr>
      <w:rFonts w:ascii="Arial" w:hAnsi="Arial" w:cs="Arial"/>
      <w:bCs/>
      <w:kern w:val="32"/>
      <w:sz w:val="24"/>
      <w:szCs w:val="24"/>
    </w:rPr>
  </w:style>
  <w:style w:type="paragraph" w:styleId="FootnoteText">
    <w:name w:val="footnote text"/>
    <w:basedOn w:val="Normal"/>
    <w:link w:val="FootnoteTextChar"/>
    <w:uiPriority w:val="99"/>
    <w:rsid w:val="0041590D"/>
    <w:pPr>
      <w:spacing w:after="120" w:line="240" w:lineRule="auto"/>
    </w:pPr>
    <w:rPr>
      <w:sz w:val="20"/>
      <w:szCs w:val="20"/>
    </w:rPr>
  </w:style>
  <w:style w:type="paragraph" w:styleId="Header">
    <w:name w:val="header"/>
    <w:link w:val="HeaderChar"/>
    <w:uiPriority w:val="99"/>
    <w:rsid w:val="00A11E41"/>
    <w:pPr>
      <w:tabs>
        <w:tab w:val="left" w:pos="4608"/>
      </w:tabs>
    </w:pPr>
    <w:rPr>
      <w:rFonts w:cs="Arial"/>
      <w:bCs/>
      <w:kern w:val="32"/>
      <w:szCs w:val="24"/>
    </w:rPr>
  </w:style>
  <w:style w:type="paragraph" w:styleId="Footer">
    <w:name w:val="footer"/>
    <w:basedOn w:val="Normal"/>
    <w:link w:val="FooterChar"/>
    <w:uiPriority w:val="99"/>
    <w:rsid w:val="009A03E9"/>
    <w:pPr>
      <w:tabs>
        <w:tab w:val="center" w:pos="4320"/>
        <w:tab w:val="right" w:pos="8640"/>
      </w:tabs>
      <w:spacing w:line="240" w:lineRule="auto"/>
      <w:ind w:firstLine="0"/>
    </w:pPr>
  </w:style>
  <w:style w:type="paragraph" w:customStyle="1" w:styleId="IndentedQuote">
    <w:name w:val="Indented Quote"/>
    <w:basedOn w:val="Normal"/>
    <w:rsid w:val="00B33E69"/>
    <w:pPr>
      <w:tabs>
        <w:tab w:val="left" w:pos="1440"/>
      </w:tabs>
      <w:spacing w:after="240" w:line="240" w:lineRule="auto"/>
      <w:ind w:left="1440" w:right="1440" w:firstLine="0"/>
    </w:pPr>
    <w:rPr>
      <w:sz w:val="20"/>
      <w:szCs w:val="20"/>
    </w:rPr>
  </w:style>
  <w:style w:type="character" w:styleId="FootnoteReference">
    <w:name w:val="footnote reference"/>
    <w:uiPriority w:val="99"/>
    <w:semiHidden/>
    <w:rsid w:val="00BD06BA"/>
    <w:rPr>
      <w:vertAlign w:val="superscript"/>
    </w:rPr>
  </w:style>
  <w:style w:type="paragraph" w:customStyle="1" w:styleId="SingleSpace">
    <w:name w:val="Single Space"/>
    <w:basedOn w:val="Normal"/>
    <w:qFormat/>
    <w:rsid w:val="0040446F"/>
    <w:pPr>
      <w:spacing w:line="240" w:lineRule="auto"/>
    </w:pPr>
  </w:style>
  <w:style w:type="paragraph" w:styleId="Title">
    <w:name w:val="Title"/>
    <w:basedOn w:val="Normal"/>
    <w:next w:val="Normal"/>
    <w:link w:val="TitleChar"/>
    <w:uiPriority w:val="10"/>
    <w:qFormat/>
    <w:rsid w:val="0040446F"/>
    <w:pPr>
      <w:spacing w:before="240" w:after="60"/>
      <w:jc w:val="center"/>
      <w:outlineLvl w:val="0"/>
    </w:pPr>
    <w:rPr>
      <w:rFonts w:ascii="Cambria" w:hAnsi="Cambria" w:cs="Times New Roman"/>
      <w:b/>
      <w:kern w:val="28"/>
      <w:sz w:val="32"/>
      <w:szCs w:val="32"/>
    </w:rPr>
  </w:style>
  <w:style w:type="character" w:customStyle="1" w:styleId="TitleChar">
    <w:name w:val="Title Char"/>
    <w:link w:val="Title"/>
    <w:uiPriority w:val="10"/>
    <w:rsid w:val="0040446F"/>
    <w:rPr>
      <w:rFonts w:ascii="Cambria" w:eastAsia="Times New Roman" w:hAnsi="Cambria" w:cs="Times New Roman"/>
      <w:b/>
      <w:bCs/>
      <w:kern w:val="28"/>
      <w:sz w:val="32"/>
      <w:szCs w:val="32"/>
    </w:rPr>
  </w:style>
  <w:style w:type="paragraph" w:customStyle="1" w:styleId="NormalLeft">
    <w:name w:val="Normal Left"/>
    <w:basedOn w:val="Normal"/>
    <w:qFormat/>
    <w:rsid w:val="00D17F4E"/>
    <w:pPr>
      <w:ind w:firstLine="0"/>
    </w:pPr>
    <w:rPr>
      <w:rFonts w:cs="Times New Roman"/>
      <w:bCs w:val="0"/>
      <w:iCs/>
      <w:kern w:val="0"/>
    </w:rPr>
  </w:style>
  <w:style w:type="paragraph" w:customStyle="1" w:styleId="OrderPara">
    <w:name w:val="OrderPara"/>
    <w:basedOn w:val="Header"/>
    <w:rsid w:val="008837C4"/>
    <w:pPr>
      <w:numPr>
        <w:numId w:val="3"/>
      </w:numPr>
      <w:tabs>
        <w:tab w:val="clear" w:pos="720"/>
        <w:tab w:val="clear" w:pos="4608"/>
      </w:tabs>
      <w:spacing w:after="240" w:line="360" w:lineRule="auto"/>
    </w:pPr>
    <w:rPr>
      <w:rFonts w:cs="Times New Roman"/>
      <w:bCs w:val="0"/>
      <w:kern w:val="0"/>
      <w:sz w:val="24"/>
    </w:rPr>
  </w:style>
  <w:style w:type="paragraph" w:styleId="BalloonText">
    <w:name w:val="Balloon Text"/>
    <w:basedOn w:val="Normal"/>
    <w:link w:val="BalloonTextChar"/>
    <w:uiPriority w:val="99"/>
    <w:semiHidden/>
    <w:unhideWhenUsed/>
    <w:rsid w:val="00F97A1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97A15"/>
    <w:rPr>
      <w:rFonts w:ascii="Tahoma" w:hAnsi="Tahoma" w:cs="Tahoma"/>
      <w:bCs/>
      <w:kern w:val="32"/>
      <w:sz w:val="16"/>
      <w:szCs w:val="16"/>
    </w:rPr>
  </w:style>
  <w:style w:type="character" w:customStyle="1" w:styleId="FootnoteTextChar">
    <w:name w:val="Footnote Text Char"/>
    <w:link w:val="FootnoteText"/>
    <w:uiPriority w:val="99"/>
    <w:rsid w:val="0013634E"/>
    <w:rPr>
      <w:rFonts w:cs="Arial"/>
      <w:bCs/>
      <w:kern w:val="32"/>
    </w:rPr>
  </w:style>
  <w:style w:type="paragraph" w:customStyle="1" w:styleId="ColorfulList-Accent11">
    <w:name w:val="Colorful List - Accent 11"/>
    <w:basedOn w:val="Normal"/>
    <w:uiPriority w:val="34"/>
    <w:qFormat/>
    <w:rsid w:val="0013634E"/>
    <w:pPr>
      <w:spacing w:after="200" w:line="276" w:lineRule="auto"/>
      <w:ind w:left="720" w:firstLine="0"/>
      <w:contextualSpacing/>
    </w:pPr>
    <w:rPr>
      <w:rFonts w:ascii="Calibri" w:eastAsia="Calibri" w:hAnsi="Calibri" w:cs="Times New Roman"/>
      <w:bCs w:val="0"/>
      <w:kern w:val="0"/>
      <w:sz w:val="22"/>
      <w:szCs w:val="22"/>
    </w:rPr>
  </w:style>
  <w:style w:type="character" w:customStyle="1" w:styleId="HeaderChar">
    <w:name w:val="Header Char"/>
    <w:link w:val="Header"/>
    <w:uiPriority w:val="99"/>
    <w:rsid w:val="00FC6013"/>
    <w:rPr>
      <w:rFonts w:cs="Arial"/>
      <w:bCs/>
      <w:kern w:val="32"/>
      <w:szCs w:val="24"/>
      <w:lang w:val="en-US" w:eastAsia="en-US" w:bidi="ar-SA"/>
    </w:rPr>
  </w:style>
  <w:style w:type="character" w:customStyle="1" w:styleId="FooterChar">
    <w:name w:val="Footer Char"/>
    <w:link w:val="Footer"/>
    <w:uiPriority w:val="99"/>
    <w:rsid w:val="00FC6013"/>
    <w:rPr>
      <w:rFonts w:cs="Arial"/>
      <w:bCs/>
      <w:kern w:val="32"/>
      <w:sz w:val="24"/>
      <w:szCs w:val="24"/>
    </w:rPr>
  </w:style>
  <w:style w:type="paragraph" w:styleId="EndnoteText">
    <w:name w:val="endnote text"/>
    <w:basedOn w:val="Normal"/>
    <w:link w:val="EndnoteTextChar"/>
    <w:uiPriority w:val="99"/>
    <w:semiHidden/>
    <w:unhideWhenUsed/>
    <w:rsid w:val="00A81B03"/>
    <w:rPr>
      <w:sz w:val="20"/>
      <w:szCs w:val="20"/>
    </w:rPr>
  </w:style>
  <w:style w:type="character" w:customStyle="1" w:styleId="EndnoteTextChar">
    <w:name w:val="Endnote Text Char"/>
    <w:link w:val="EndnoteText"/>
    <w:uiPriority w:val="99"/>
    <w:semiHidden/>
    <w:rsid w:val="00A81B03"/>
    <w:rPr>
      <w:rFonts w:cs="Arial"/>
      <w:bCs/>
      <w:kern w:val="32"/>
    </w:rPr>
  </w:style>
  <w:style w:type="character" w:styleId="EndnoteReference">
    <w:name w:val="endnote reference"/>
    <w:uiPriority w:val="99"/>
    <w:semiHidden/>
    <w:unhideWhenUsed/>
    <w:rsid w:val="00A81B03"/>
    <w:rPr>
      <w:vertAlign w:val="superscript"/>
    </w:rPr>
  </w:style>
  <w:style w:type="character" w:styleId="Hyperlink">
    <w:name w:val="Hyperlink"/>
    <w:uiPriority w:val="99"/>
    <w:unhideWhenUsed/>
    <w:rsid w:val="00C21A13"/>
    <w:rPr>
      <w:color w:val="0563C1"/>
      <w:u w:val="single"/>
    </w:rPr>
  </w:style>
  <w:style w:type="character" w:styleId="FollowedHyperlink">
    <w:name w:val="FollowedHyperlink"/>
    <w:uiPriority w:val="99"/>
    <w:semiHidden/>
    <w:unhideWhenUsed/>
    <w:rsid w:val="00C21A13"/>
    <w:rPr>
      <w:color w:val="954F72"/>
      <w:u w:val="single"/>
    </w:rPr>
  </w:style>
  <w:style w:type="paragraph" w:styleId="ListParagraph">
    <w:name w:val="List Paragraph"/>
    <w:basedOn w:val="Normal"/>
    <w:uiPriority w:val="34"/>
    <w:qFormat/>
    <w:rsid w:val="00C21A13"/>
    <w:pPr>
      <w:ind w:left="720"/>
    </w:pPr>
  </w:style>
  <w:style w:type="character" w:styleId="CommentReference">
    <w:name w:val="annotation reference"/>
    <w:uiPriority w:val="99"/>
    <w:semiHidden/>
    <w:unhideWhenUsed/>
    <w:rsid w:val="00644DE1"/>
    <w:rPr>
      <w:sz w:val="16"/>
      <w:szCs w:val="16"/>
    </w:rPr>
  </w:style>
  <w:style w:type="paragraph" w:styleId="CommentText">
    <w:name w:val="annotation text"/>
    <w:basedOn w:val="Normal"/>
    <w:link w:val="CommentTextChar"/>
    <w:uiPriority w:val="99"/>
    <w:unhideWhenUsed/>
    <w:rsid w:val="00644DE1"/>
    <w:rPr>
      <w:sz w:val="20"/>
      <w:szCs w:val="20"/>
    </w:rPr>
  </w:style>
  <w:style w:type="character" w:customStyle="1" w:styleId="CommentTextChar">
    <w:name w:val="Comment Text Char"/>
    <w:link w:val="CommentText"/>
    <w:uiPriority w:val="99"/>
    <w:rsid w:val="00644DE1"/>
    <w:rPr>
      <w:rFonts w:cs="Arial"/>
      <w:bCs/>
      <w:kern w:val="32"/>
    </w:rPr>
  </w:style>
  <w:style w:type="paragraph" w:styleId="CommentSubject">
    <w:name w:val="annotation subject"/>
    <w:basedOn w:val="CommentText"/>
    <w:next w:val="CommentText"/>
    <w:link w:val="CommentSubjectChar"/>
    <w:uiPriority w:val="99"/>
    <w:semiHidden/>
    <w:unhideWhenUsed/>
    <w:rsid w:val="00644DE1"/>
    <w:rPr>
      <w:b/>
    </w:rPr>
  </w:style>
  <w:style w:type="character" w:customStyle="1" w:styleId="CommentSubjectChar">
    <w:name w:val="Comment Subject Char"/>
    <w:link w:val="CommentSubject"/>
    <w:uiPriority w:val="99"/>
    <w:semiHidden/>
    <w:rsid w:val="00644DE1"/>
    <w:rPr>
      <w:rFonts w:cs="Arial"/>
      <w:b/>
      <w:bCs/>
      <w:kern w:val="32"/>
    </w:rPr>
  </w:style>
  <w:style w:type="paragraph" w:styleId="Revision">
    <w:name w:val="Revision"/>
    <w:hidden/>
    <w:uiPriority w:val="99"/>
    <w:semiHidden/>
    <w:rsid w:val="00711D8F"/>
    <w:rPr>
      <w:rFonts w:cs="Arial"/>
      <w:bCs/>
      <w:kern w:val="32"/>
      <w:sz w:val="24"/>
      <w:szCs w:val="24"/>
    </w:rPr>
  </w:style>
  <w:style w:type="character" w:styleId="Mention">
    <w:name w:val="Mention"/>
    <w:uiPriority w:val="99"/>
    <w:unhideWhenUsed/>
    <w:rsid w:val="005F4CCA"/>
    <w:rPr>
      <w:color w:val="2B579A"/>
      <w:shd w:val="clear" w:color="auto" w:fill="E6E6E6"/>
    </w:rPr>
  </w:style>
  <w:style w:type="character" w:styleId="UnresolvedMention">
    <w:name w:val="Unresolved Mention"/>
    <w:uiPriority w:val="99"/>
    <w:semiHidden/>
    <w:unhideWhenUsed/>
    <w:rsid w:val="00A202DF"/>
    <w:rPr>
      <w:color w:val="605E5C"/>
      <w:shd w:val="clear" w:color="auto" w:fill="E1DFDD"/>
    </w:rPr>
  </w:style>
  <w:style w:type="table" w:styleId="TableGrid">
    <w:name w:val="Table Grid"/>
    <w:basedOn w:val="TableNormal"/>
    <w:uiPriority w:val="59"/>
    <w:rsid w:val="00A20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6E32C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
    <w:name w:val="Grid Table 5 Dark"/>
    <w:basedOn w:val="TableNormal"/>
    <w:uiPriority w:val="50"/>
    <w:rsid w:val="006E32C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6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7AECB-F958-45F5-B10B-EB597540C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3400</Words>
  <Characters>19381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2023-05-08T18:14:00Z</dcterms:created>
  <dcterms:modified xsi:type="dcterms:W3CDTF">2023-05-08T19:13:00Z</dcterms:modified>
</cp:coreProperties>
</file>